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19A28" w14:textId="7F1AFC73" w:rsidR="00F802B8" w:rsidRPr="00AF016B" w:rsidRDefault="00673EA2" w:rsidP="00F802B8">
      <w:pPr>
        <w:spacing w:after="0" w:line="240" w:lineRule="auto"/>
        <w:jc w:val="center"/>
        <w:rPr>
          <w:szCs w:val="24"/>
          <w:u w:val="single"/>
        </w:rPr>
      </w:pPr>
      <w:r>
        <w:rPr>
          <w:szCs w:val="24"/>
          <w:u w:val="single"/>
        </w:rPr>
        <w:t>GUÍA DE AUTO-APRENDIZAJE N°2</w:t>
      </w:r>
    </w:p>
    <w:p w14:paraId="6BD3A8CD" w14:textId="77777777" w:rsidR="00F802B8" w:rsidRPr="00AF016B" w:rsidRDefault="00F802B8" w:rsidP="00F802B8">
      <w:pPr>
        <w:spacing w:after="0" w:line="240" w:lineRule="auto"/>
        <w:jc w:val="center"/>
        <w:rPr>
          <w:szCs w:val="24"/>
          <w:u w:val="single"/>
        </w:rPr>
      </w:pPr>
      <w:r w:rsidRPr="00AF016B">
        <w:rPr>
          <w:szCs w:val="24"/>
          <w:u w:val="single"/>
        </w:rPr>
        <w:t>HISTORIA, GEOGRAFÍA Y CS SOCIALES</w:t>
      </w:r>
    </w:p>
    <w:p w14:paraId="3BA061CF" w14:textId="1814D2F7" w:rsidR="00F802B8" w:rsidRPr="00AF016B" w:rsidRDefault="000167EA" w:rsidP="00F802B8">
      <w:pPr>
        <w:spacing w:after="0" w:line="240" w:lineRule="auto"/>
        <w:ind w:left="142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</w:t>
      </w:r>
      <w:r w:rsidR="00AF016B" w:rsidRPr="00AF016B">
        <w:rPr>
          <w:sz w:val="24"/>
          <w:szCs w:val="24"/>
          <w:u w:val="single"/>
        </w:rPr>
        <w:t xml:space="preserve">ºMedio </w:t>
      </w:r>
    </w:p>
    <w:p w14:paraId="544ADD7D" w14:textId="77777777" w:rsidR="00AF016B" w:rsidRDefault="00AF016B" w:rsidP="00AF016B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101BE179" w14:textId="44FFD166" w:rsidR="00AF016B" w:rsidRPr="000167EA" w:rsidRDefault="00AF016B" w:rsidP="000167EA">
      <w:pPr>
        <w:jc w:val="both"/>
        <w:rPr>
          <w:b/>
        </w:rPr>
      </w:pP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Curso:_______ </w:t>
      </w:r>
      <w:r>
        <w:rPr>
          <w:b/>
        </w:rPr>
        <w:t>Fecha: _______</w:t>
      </w: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F802B8" w14:paraId="48B3B0D8" w14:textId="77777777" w:rsidTr="001C2208">
        <w:trPr>
          <w:trHeight w:val="852"/>
        </w:trPr>
        <w:tc>
          <w:tcPr>
            <w:tcW w:w="9073" w:type="dxa"/>
          </w:tcPr>
          <w:p w14:paraId="5AC07320" w14:textId="7D9EE945" w:rsidR="00E4647A" w:rsidRPr="00E4647A" w:rsidRDefault="001C2208" w:rsidP="00E4647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OA: </w:t>
            </w:r>
            <w:r w:rsidR="003713D0">
              <w:rPr>
                <w:rFonts w:cs="ITC Officina Sans Book"/>
                <w:color w:val="000000"/>
                <w:sz w:val="20"/>
                <w:szCs w:val="20"/>
              </w:rPr>
              <w:t>Relacionar la transformación cultural del período de entreguerras con la ruptura de los cánones culturales y estéticos tradicionales, y reconocer cómo se manifestó en las vanguardias artísticas (por ejemplo, el dadaísmo, el surrealismo, el jazz, la moda, entre otros) y en la aparición de una cultura de masas (cine, radio, publicidad, prensa, deporte).</w:t>
            </w:r>
          </w:p>
          <w:p w14:paraId="6042BFEE" w14:textId="77777777" w:rsidR="00F802B8" w:rsidRDefault="00AF016B" w:rsidP="00E464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Instrucciones:</w:t>
            </w:r>
          </w:p>
          <w:p w14:paraId="2BCBF5BF" w14:textId="0F0FB38C" w:rsidR="00AF016B" w:rsidRPr="000167EA" w:rsidRDefault="00664217" w:rsidP="00E4647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6B17C3">
              <w:rPr>
                <w:sz w:val="20"/>
                <w:szCs w:val="20"/>
              </w:rPr>
              <w:t>La primera parte debes analizar  imágenes e inferir de qué se tratan “Los Locos Años 20”</w:t>
            </w:r>
          </w:p>
          <w:p w14:paraId="739D8908" w14:textId="77777777" w:rsidR="00AF016B" w:rsidRDefault="00AF016B" w:rsidP="00E4647A">
            <w:pPr>
              <w:spacing w:after="0" w:line="240" w:lineRule="auto"/>
              <w:rPr>
                <w:sz w:val="20"/>
                <w:szCs w:val="20"/>
              </w:rPr>
            </w:pPr>
            <w:r w:rsidRPr="000167EA">
              <w:rPr>
                <w:sz w:val="20"/>
                <w:szCs w:val="20"/>
              </w:rPr>
              <w:t xml:space="preserve">2. Luego debes leer atentamente el texto </w:t>
            </w:r>
            <w:r w:rsidR="006B17C3">
              <w:rPr>
                <w:sz w:val="20"/>
                <w:szCs w:val="20"/>
              </w:rPr>
              <w:t>sobre las transformaciones culturales y crear un breve resumen.</w:t>
            </w:r>
          </w:p>
          <w:p w14:paraId="55C6DA5B" w14:textId="75E66FFC" w:rsidR="006B17C3" w:rsidRPr="00191E23" w:rsidRDefault="006B17C3" w:rsidP="00E4647A">
            <w:pPr>
              <w:spacing w:after="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3. Por último debes buscar imágenes de las diferentes expresiones artísticas de los años 20.</w:t>
            </w:r>
            <w:bookmarkStart w:id="0" w:name="_GoBack"/>
            <w:bookmarkEnd w:id="0"/>
          </w:p>
        </w:tc>
      </w:tr>
    </w:tbl>
    <w:p w14:paraId="527A8210" w14:textId="77777777" w:rsidR="00F802B8" w:rsidRDefault="00F802B8" w:rsidP="00F802B8">
      <w:pPr>
        <w:spacing w:after="0" w:line="240" w:lineRule="auto"/>
        <w:rPr>
          <w:rFonts w:ascii="Arial" w:hAnsi="Arial" w:cs="Arial"/>
        </w:rPr>
      </w:pPr>
    </w:p>
    <w:p w14:paraId="2CF37434" w14:textId="48BE8758" w:rsidR="006D04CD" w:rsidRDefault="00F802B8" w:rsidP="001C2208">
      <w:pPr>
        <w:jc w:val="both"/>
        <w:rPr>
          <w:b/>
        </w:rPr>
      </w:pPr>
      <w:r>
        <w:rPr>
          <w:b/>
        </w:rPr>
        <w:t xml:space="preserve">I. </w:t>
      </w:r>
      <w:r w:rsidR="004E12BB">
        <w:rPr>
          <w:b/>
        </w:rPr>
        <w:t>Observa</w:t>
      </w:r>
      <w:r w:rsidR="002807F8">
        <w:rPr>
          <w:b/>
        </w:rPr>
        <w:t xml:space="preserve"> las siguientes imágenes del “Los locos años 20” y descríbelas (personajes, vestuarios, acciones, etc).</w:t>
      </w:r>
    </w:p>
    <w:p w14:paraId="32E4CFBC" w14:textId="10862C79" w:rsidR="00FF204D" w:rsidRDefault="004D23C4" w:rsidP="001C2208">
      <w:pPr>
        <w:jc w:val="both"/>
        <w:rPr>
          <w:b/>
        </w:rPr>
      </w:pPr>
      <w:r>
        <w:rPr>
          <w:rFonts w:ascii="Helvetica" w:eastAsiaTheme="minorHAnsi" w:hAnsi="Helvetica" w:cs="Helvetica"/>
          <w:noProof/>
          <w:sz w:val="24"/>
          <w:szCs w:val="24"/>
          <w:lang w:val="es-ES_tradnl" w:eastAsia="es-ES_tradnl"/>
        </w:rPr>
        <w:drawing>
          <wp:inline distT="0" distB="0" distL="0" distR="0" wp14:anchorId="7FADC269" wp14:editId="6D0D8E5F">
            <wp:extent cx="2967602" cy="2225166"/>
            <wp:effectExtent l="0" t="0" r="444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203" cy="22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07F8">
        <w:rPr>
          <w:b/>
        </w:rPr>
        <w:t xml:space="preserve"> </w:t>
      </w:r>
      <w:r w:rsidR="002807F8">
        <w:rPr>
          <w:rFonts w:ascii="Helvetica" w:eastAsiaTheme="minorHAnsi" w:hAnsi="Helvetica" w:cs="Helvetica"/>
          <w:noProof/>
          <w:sz w:val="24"/>
          <w:szCs w:val="24"/>
          <w:lang w:val="es-ES_tradnl" w:eastAsia="es-ES_tradnl"/>
        </w:rPr>
        <w:drawing>
          <wp:inline distT="0" distB="0" distL="0" distR="0" wp14:anchorId="0CBCD11A" wp14:editId="2DAA3E31">
            <wp:extent cx="2498000" cy="2214981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884" cy="222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09FA9" w14:textId="5838D26F" w:rsidR="002807F8" w:rsidRDefault="002807F8" w:rsidP="001C2208">
      <w:pPr>
        <w:jc w:val="both"/>
        <w:rPr>
          <w:b/>
        </w:rPr>
      </w:pPr>
      <w:r>
        <w:rPr>
          <w:rFonts w:ascii="Helvetica" w:eastAsiaTheme="minorHAnsi" w:hAnsi="Helvetica" w:cs="Helvetica"/>
          <w:noProof/>
          <w:sz w:val="24"/>
          <w:szCs w:val="24"/>
          <w:lang w:val="es-ES_tradnl" w:eastAsia="es-ES_tradnl"/>
        </w:rPr>
        <w:drawing>
          <wp:inline distT="0" distB="0" distL="0" distR="0" wp14:anchorId="261670A9" wp14:editId="1E43B5DC">
            <wp:extent cx="2921765" cy="2192347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788" cy="220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rPr>
          <w:rFonts w:ascii="Helvetica" w:eastAsiaTheme="minorHAnsi" w:hAnsi="Helvetica" w:cs="Helvetica"/>
          <w:noProof/>
          <w:sz w:val="24"/>
          <w:szCs w:val="24"/>
          <w:lang w:val="es-ES_tradnl" w:eastAsia="es-ES_tradnl"/>
        </w:rPr>
        <w:drawing>
          <wp:inline distT="0" distB="0" distL="0" distR="0" wp14:anchorId="14E39F83" wp14:editId="7A78932E">
            <wp:extent cx="2635552" cy="1679694"/>
            <wp:effectExtent l="0" t="0" r="635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65" cy="168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35234" w14:textId="77777777" w:rsidR="002807F8" w:rsidRDefault="002807F8" w:rsidP="001C2208">
      <w:pPr>
        <w:jc w:val="both"/>
        <w:rPr>
          <w:b/>
        </w:rPr>
      </w:pPr>
    </w:p>
    <w:p w14:paraId="78216BA5" w14:textId="77777777" w:rsidR="002807F8" w:rsidRDefault="002807F8" w:rsidP="001C2208">
      <w:pPr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807F8" w14:paraId="3FD2E2A9" w14:textId="77777777" w:rsidTr="002807F8">
        <w:tc>
          <w:tcPr>
            <w:tcW w:w="8828" w:type="dxa"/>
          </w:tcPr>
          <w:p w14:paraId="184E4750" w14:textId="6174C5DA" w:rsidR="002807F8" w:rsidRDefault="002807F8" w:rsidP="001C2208">
            <w:pPr>
              <w:jc w:val="both"/>
            </w:pPr>
            <w:r w:rsidRPr="002807F8">
              <w:t>Descripción de imágenes:</w:t>
            </w:r>
          </w:p>
          <w:p w14:paraId="71E79B15" w14:textId="77777777" w:rsidR="002807F8" w:rsidRDefault="002807F8" w:rsidP="001C2208">
            <w:pPr>
              <w:jc w:val="both"/>
            </w:pPr>
            <w:r>
              <w:t>-</w:t>
            </w:r>
          </w:p>
          <w:p w14:paraId="5D35762E" w14:textId="77777777" w:rsidR="002807F8" w:rsidRDefault="002807F8" w:rsidP="001C2208">
            <w:pPr>
              <w:jc w:val="both"/>
            </w:pPr>
            <w:r>
              <w:t>-</w:t>
            </w:r>
          </w:p>
          <w:p w14:paraId="10EFDB05" w14:textId="77777777" w:rsidR="002807F8" w:rsidRDefault="002807F8" w:rsidP="001C2208">
            <w:pPr>
              <w:jc w:val="both"/>
            </w:pPr>
            <w:r>
              <w:t>-</w:t>
            </w:r>
          </w:p>
          <w:p w14:paraId="32B5D870" w14:textId="77777777" w:rsidR="002807F8" w:rsidRDefault="002807F8" w:rsidP="001C2208">
            <w:pPr>
              <w:jc w:val="both"/>
            </w:pPr>
            <w:r>
              <w:t>-</w:t>
            </w:r>
          </w:p>
          <w:p w14:paraId="137D46BC" w14:textId="77777777" w:rsidR="002807F8" w:rsidRDefault="002807F8" w:rsidP="001C2208">
            <w:pPr>
              <w:jc w:val="both"/>
            </w:pPr>
            <w:r>
              <w:t>-</w:t>
            </w:r>
          </w:p>
          <w:p w14:paraId="19BB41AA" w14:textId="57D7223F" w:rsidR="002807F8" w:rsidRPr="002807F8" w:rsidRDefault="002807F8" w:rsidP="001C2208">
            <w:pPr>
              <w:jc w:val="both"/>
            </w:pPr>
            <w:r>
              <w:t>-</w:t>
            </w:r>
          </w:p>
        </w:tc>
      </w:tr>
    </w:tbl>
    <w:p w14:paraId="352B8A29" w14:textId="77777777" w:rsidR="002807F8" w:rsidRDefault="002807F8" w:rsidP="001C2208">
      <w:pPr>
        <w:jc w:val="both"/>
        <w:rPr>
          <w:b/>
        </w:rPr>
      </w:pPr>
    </w:p>
    <w:p w14:paraId="7349B3DC" w14:textId="5BD67FC8" w:rsidR="002807F8" w:rsidRDefault="002807F8" w:rsidP="001C2208">
      <w:pPr>
        <w:jc w:val="both"/>
        <w:rPr>
          <w:b/>
        </w:rPr>
      </w:pPr>
      <w:r>
        <w:rPr>
          <w:b/>
        </w:rPr>
        <w:t>II. A continuació</w:t>
      </w:r>
      <w:r w:rsidR="004E12BB">
        <w:rPr>
          <w:b/>
        </w:rPr>
        <w:t xml:space="preserve">n se presenta información sobre “Los Locos años 20”, destaca o subraya conceptos claves y luego de inmediato realiza </w:t>
      </w:r>
      <w:r w:rsidR="00A01E9B">
        <w:rPr>
          <w:b/>
        </w:rPr>
        <w:t>un resumen del contenido.</w:t>
      </w:r>
    </w:p>
    <w:p w14:paraId="287978B5" w14:textId="0263098D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460" w:lineRule="atLeast"/>
        <w:jc w:val="both"/>
        <w:rPr>
          <w:rFonts w:asciiTheme="minorHAnsi" w:eastAsiaTheme="minorHAnsi" w:hAnsiTheme="minorHAnsi" w:cs="Times"/>
          <w:color w:val="000000" w:themeColor="text1"/>
          <w:u w:val="single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u w:val="single"/>
          <w:lang w:val="es-ES_tradnl"/>
        </w:rPr>
        <w:t>Transfo</w:t>
      </w:r>
      <w:r>
        <w:rPr>
          <w:rFonts w:asciiTheme="minorHAnsi" w:eastAsiaTheme="minorHAnsi" w:hAnsiTheme="minorHAnsi" w:cs="Times"/>
          <w:bCs/>
          <w:color w:val="000000" w:themeColor="text1"/>
          <w:u w:val="single"/>
          <w:lang w:val="es-ES_tradnl"/>
        </w:rPr>
        <w:t>rmaciones sociales y culturales:</w:t>
      </w:r>
    </w:p>
    <w:p w14:paraId="57189231" w14:textId="13FA1978" w:rsid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Como aprendiste el año pasado, el impacto de la Primera Guerra Mundial (1914-1918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) provocó que la situación pol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ítica, económica y social del mundo se viera alterada por diversos procesos, como la desintegración de los viejos imperios coloniales y el surgimiento de nuevos Estados, además de una etapa de recesión económica debido a las deudas de guerra. En e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ste contexto, la hegemonía mun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dial europea se debilitó y fue remplazada por la de Estados Unidos. Así, durante la década de 1920, mientras algunos países europeos iniciaron una progresiva recuperación, Estados Unidos entró en u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na fase de expansión. Esto per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mitió una época de relativa prosperidad, al menos para la burguesía y las clases medias, que se tradujo en cambios en la cultura y en el estilo de vida.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713D0" w14:paraId="05080EEB" w14:textId="77777777" w:rsidTr="003713D0">
        <w:tc>
          <w:tcPr>
            <w:tcW w:w="8828" w:type="dxa"/>
          </w:tcPr>
          <w:p w14:paraId="1E7E19C4" w14:textId="3C623421" w:rsidR="003713D0" w:rsidRDefault="003713D0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Resumen:</w:t>
            </w:r>
          </w:p>
          <w:p w14:paraId="69BD026E" w14:textId="77777777" w:rsidR="003713D0" w:rsidRDefault="003713D0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13132F20" w14:textId="77777777" w:rsidR="003713D0" w:rsidRDefault="003713D0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00B3992D" w14:textId="724D673A" w:rsidR="003713D0" w:rsidRDefault="003713D0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2C720685" w14:textId="77777777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06EB60B0" w14:textId="77777777" w:rsidR="003713D0" w:rsidRDefault="003713D0" w:rsidP="003713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eastAsiaTheme="minorHAnsi" w:hAnsiTheme="minorHAnsi" w:cs="Times"/>
          <w:bCs/>
          <w:color w:val="000000" w:themeColor="text1"/>
          <w:lang w:val="es-ES_tradnl"/>
        </w:rPr>
      </w:pPr>
    </w:p>
    <w:p w14:paraId="0EE8E3D5" w14:textId="77777777" w:rsidR="003713D0" w:rsidRDefault="003713D0" w:rsidP="003713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eastAsiaTheme="minorHAnsi" w:hAnsiTheme="minorHAnsi" w:cs="Times"/>
          <w:bCs/>
          <w:color w:val="000000" w:themeColor="text1"/>
          <w:lang w:val="es-ES_tradnl"/>
        </w:rPr>
      </w:pPr>
    </w:p>
    <w:p w14:paraId="64AD44DB" w14:textId="1B50E3D8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Theme="minorHAnsi" w:eastAsiaTheme="minorHAnsi" w:hAnsiTheme="minorHAnsi" w:cs="Times"/>
          <w:color w:val="000000" w:themeColor="text1"/>
          <w:u w:val="single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u w:val="single"/>
          <w:lang w:val="es-ES_tradnl"/>
        </w:rPr>
        <w:t>La frá</w:t>
      </w:r>
      <w:r w:rsidRPr="003713D0">
        <w:rPr>
          <w:rFonts w:asciiTheme="minorHAnsi" w:eastAsiaTheme="minorHAnsi" w:hAnsiTheme="minorHAnsi" w:cs="Times"/>
          <w:bCs/>
          <w:color w:val="000000" w:themeColor="text1"/>
          <w:u w:val="single"/>
          <w:lang w:val="es-ES_tradnl"/>
        </w:rPr>
        <w:t>gil recuperación de los años 20:</w:t>
      </w:r>
    </w:p>
    <w:p w14:paraId="66376457" w14:textId="538ECD78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Entre 1922 y 1929, Estados 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Unidos vivió un período de cre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cimiento económico debid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o principalmente a los siguien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tes aspectos: </w:t>
      </w:r>
    </w:p>
    <w:p w14:paraId="76115530" w14:textId="0C746E0A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El aumento de la producción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. Los sectores que más contribuyeron al crecimiento fueron la </w:t>
      </w: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 xml:space="preserve">construcción 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y las </w:t>
      </w: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nuevas industrias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, como la automovilística, la eléctrica (electricidad, teléfono, cine), la de los electrodomésticos (frigoríficos, radios), la quími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ca (refinado del petróleo, neu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máticos, abonos, product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os farmacéuticos) y la aeronáu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tica. Además, en las industrias estadounidenses se aplica- ron nuevos métodos de organización del trabajo y de la producción estandarizada y en cadena, lo que aumentó la producción sin incrementar la mano de obra y abarataron los precios por la reducción de costes. </w:t>
      </w:r>
    </w:p>
    <w:p w14:paraId="11FE0EBF" w14:textId="71F50583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La expansión del consumo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. La disminución de los precios de los productos, sumada a los nuevos sistemas de crédito o compras a plazo y al surgimiento de la publicidad, incentivó el consumo. Esto derivó en la expansión de la llamada </w:t>
      </w:r>
      <w:r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“so</w:t>
      </w: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ciedad de consumo”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, en la que se estimulaba la compra de bienes aun cuando estos n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o eran necesarios y que se con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virtió en símbolo de bienestar y prosperidad. Así, aumentó el optimismo, y el “estilo de vida norteamericano” comenzó a ser imitado en otros lugares del mundo. </w:t>
      </w:r>
    </w:p>
    <w:p w14:paraId="5A88760C" w14:textId="672E8538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Por su parte, Europa se recuperó de la crisis de posguerra, pero dejó de ser el centro de la economía mundial. De las potencias europeas, solo </w:t>
      </w:r>
      <w:r>
        <w:rPr>
          <w:rFonts w:asciiTheme="minorHAnsi" w:eastAsiaTheme="minorHAnsi" w:hAnsiTheme="minorHAnsi" w:cs="Times"/>
          <w:color w:val="000000" w:themeColor="text1"/>
          <w:lang w:val="es-ES_tradnl"/>
        </w:rPr>
        <w:t>algunas como Francia experimen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taron un importante crecimiento de la producción industrial debido a sus necesidades de reconstrucción y basado en préstamos de capital estadounidense.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0408" w14:paraId="371A6FA8" w14:textId="77777777" w:rsidTr="00140408">
        <w:tc>
          <w:tcPr>
            <w:tcW w:w="8828" w:type="dxa"/>
          </w:tcPr>
          <w:p w14:paraId="0C3A46D8" w14:textId="1041D01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Resumen:</w:t>
            </w:r>
          </w:p>
          <w:p w14:paraId="32BC7289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0282AFBD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6A9CA173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15EAB709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687CA138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751B65B9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7EB99566" w14:textId="77777777" w:rsid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30A56503" w14:textId="77777777" w:rsid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0D6DF104" w14:textId="015CEB02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En una época marcada por el optimismo económico y la prosperidad, surgió una nueva clase media, que se instaló a las afueras de las ciudades y empezó a dotar sus hogares de nuevos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 artilugios eléctricos que cam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biaron su rutina radicalmente. Los electrodomésticos, diseñados para mejorar 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la vida de la gente, proporcio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naron más tiempo para el ocio y el consumo. Aunque al principio estos aparatos eran muy 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básicos y solo po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dían acceder a ellos las clases más acomodadas, su uso acabó por imponerse en todos los hogares. </w:t>
      </w:r>
    </w:p>
    <w:p w14:paraId="0EDD06DB" w14:textId="5B3B2A2D" w:rsid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Las nuevas costumbres en moda y música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. Después del dolor por las muertes y las privaciones de la guerra, y con el optimismo que trajo la estabilidad económica, gran parte de la sociedad de l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a década de 1920 cambió sus cos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tumbres. Por ejemplo, la moda y las tradiciones femeninas se volvieron mucho más libres. La mayoría acortó sus faldas y adoptó peinados hasta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 entonces considerados masculi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nos. Algunas incluso decidi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eron participar en la vida noc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turna, antes vedada para ellas. Esta nueva mentalidad es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tu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vo acompañada en muchos países por la incorporación de mujeres al ámbito laboral y por el reconocimiento del voto femenino. Por otra parte, se introdujeron nuevos tipos de música y bailes como el </w:t>
      </w:r>
      <w:r w:rsidRPr="003713D0">
        <w:rPr>
          <w:rFonts w:asciiTheme="minorHAnsi" w:eastAsiaTheme="minorHAnsi" w:hAnsiTheme="minorHAnsi" w:cs="Times"/>
          <w:i/>
          <w:iCs/>
          <w:color w:val="000000" w:themeColor="text1"/>
          <w:lang w:val="es-ES_tradnl"/>
        </w:rPr>
        <w:t xml:space="preserve">jazz 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y el charlestón.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40408" w14:paraId="552F6CC5" w14:textId="77777777" w:rsidTr="00140408">
        <w:tc>
          <w:tcPr>
            <w:tcW w:w="8828" w:type="dxa"/>
          </w:tcPr>
          <w:p w14:paraId="176CA706" w14:textId="564B0D5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Resumen:</w:t>
            </w:r>
          </w:p>
          <w:p w14:paraId="3E504268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28107696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1AA21410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56E86CCC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2DA2B6C9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61109BA1" w14:textId="77777777" w:rsidR="00140408" w:rsidRDefault="00140408" w:rsidP="003713D0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07CDEB46" w14:textId="77777777" w:rsidR="00140408" w:rsidRPr="003713D0" w:rsidRDefault="00140408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60767D8F" w14:textId="6F46C86A" w:rsidR="00140408" w:rsidRPr="0062785E" w:rsidRDefault="00140408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b/>
          <w:bCs/>
          <w:color w:val="000000" w:themeColor="text1"/>
          <w:lang w:val="es-ES_tradnl"/>
        </w:rPr>
      </w:pPr>
      <w:r w:rsidRPr="0062785E">
        <w:rPr>
          <w:rFonts w:asciiTheme="minorHAnsi" w:eastAsiaTheme="minorHAnsi" w:hAnsiTheme="minorHAnsi" w:cs="Times"/>
          <w:b/>
          <w:bCs/>
          <w:color w:val="000000" w:themeColor="text1"/>
          <w:lang w:val="es-ES_tradnl"/>
        </w:rPr>
        <w:t xml:space="preserve">III. A continuación lee cada expresión artística de los años 20, busca en internet y adjunta un ejemplo </w:t>
      </w:r>
      <w:r w:rsidR="0062785E" w:rsidRPr="0062785E">
        <w:rPr>
          <w:rFonts w:asciiTheme="minorHAnsi" w:eastAsiaTheme="minorHAnsi" w:hAnsiTheme="minorHAnsi" w:cs="Times"/>
          <w:b/>
          <w:bCs/>
          <w:color w:val="000000" w:themeColor="text1"/>
          <w:lang w:val="es-ES_tradnl"/>
        </w:rPr>
        <w:t xml:space="preserve"> de alguna obra artística</w:t>
      </w:r>
      <w:r w:rsidRPr="0062785E">
        <w:rPr>
          <w:rFonts w:asciiTheme="minorHAnsi" w:eastAsiaTheme="minorHAnsi" w:hAnsiTheme="minorHAnsi" w:cs="Times"/>
          <w:b/>
          <w:bCs/>
          <w:color w:val="000000" w:themeColor="text1"/>
          <w:lang w:val="es-ES_tradnl"/>
        </w:rPr>
        <w:t xml:space="preserve"> (guíate por los autores que te brinda el texto)</w:t>
      </w:r>
      <w:r w:rsidR="0062785E" w:rsidRPr="0062785E">
        <w:rPr>
          <w:rFonts w:asciiTheme="minorHAnsi" w:eastAsiaTheme="minorHAnsi" w:hAnsiTheme="minorHAnsi" w:cs="Times"/>
          <w:b/>
          <w:bCs/>
          <w:color w:val="000000" w:themeColor="text1"/>
          <w:lang w:val="es-ES_tradnl"/>
        </w:rPr>
        <w:t>.</w:t>
      </w:r>
    </w:p>
    <w:p w14:paraId="505CB43C" w14:textId="3CBBB01D" w:rsidR="003713D0" w:rsidRPr="003713D0" w:rsidRDefault="003713D0" w:rsidP="003713D0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Las vanguardias artísticas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. El arte de la época también reflejó los cambios de la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 sociedad. Los nuevos movimien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tos artísticos realizaron una crítica social, rompieron con la tradición del pasado y b</w:t>
      </w:r>
      <w:r w:rsidR="00140408">
        <w:rPr>
          <w:rFonts w:asciiTheme="minorHAnsi" w:eastAsiaTheme="minorHAnsi" w:hAnsiTheme="minorHAnsi" w:cs="Times"/>
          <w:color w:val="000000" w:themeColor="text1"/>
          <w:lang w:val="es-ES_tradnl"/>
        </w:rPr>
        <w:t>uscaron nuevas formas de expre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sión que marcaron el nacimiento del arte contemporáneo. Las más relevantes fueron las siguientes: </w:t>
      </w:r>
    </w:p>
    <w:p w14:paraId="0983779B" w14:textId="2226E0E1" w:rsidR="0062785E" w:rsidRDefault="003713D0" w:rsidP="006278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Dadaísmo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. Buscaba pr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>ovocar, causar polémica y ridi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culizar las expresiones artísticas tradicionales usando el absurdo para escandalizar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>. Uno de sus artistas más reco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nocidos fue Marcel Duchamp (1887-1968). </w:t>
      </w:r>
      <w:r w:rsidRPr="003713D0">
        <w:rPr>
          <w:rFonts w:ascii="MS Mincho" w:eastAsia="MS Mincho" w:hAnsi="MS Mincho" w:cs="MS Mincho"/>
          <w:color w:val="000000" w:themeColor="text1"/>
          <w:lang w:val="es-ES_tradnl"/>
        </w:rPr>
        <w:t> 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785E" w14:paraId="6D5CD3F0" w14:textId="77777777" w:rsidTr="0062785E">
        <w:tc>
          <w:tcPr>
            <w:tcW w:w="8828" w:type="dxa"/>
          </w:tcPr>
          <w:p w14:paraId="1D3B8EF5" w14:textId="2F0422D8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Adjunta imagen:</w:t>
            </w:r>
          </w:p>
          <w:p w14:paraId="10E80EB8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318967C9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7F5F53AC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0719DC88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062E0861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3D688255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75EE58D0" w14:textId="77777777" w:rsidR="0062785E" w:rsidRPr="0062785E" w:rsidRDefault="0062785E" w:rsidP="006278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251F2503" w14:textId="2F5A427E" w:rsidR="0062785E" w:rsidRPr="0062785E" w:rsidRDefault="003713D0" w:rsidP="0062785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Surrealismo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. Influido por el psicoanálisis, se centró en la representación del 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>mundo de los sueños y la explo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ración de la dimensión irra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>cional e instintiva del ser hu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mano. En esta corriente destacaron Salvador Dalí (1904- 1989) y René Magritte (1898-1967). </w:t>
      </w:r>
      <w:r w:rsidRPr="003713D0">
        <w:rPr>
          <w:rFonts w:ascii="MS Mincho" w:eastAsia="MS Mincho" w:hAnsi="MS Mincho" w:cs="MS Mincho"/>
          <w:color w:val="000000" w:themeColor="text1"/>
          <w:lang w:val="es-ES_tradnl"/>
        </w:rPr>
        <w:t> 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785E" w14:paraId="75643206" w14:textId="77777777" w:rsidTr="0062785E">
        <w:tc>
          <w:tcPr>
            <w:tcW w:w="8828" w:type="dxa"/>
          </w:tcPr>
          <w:p w14:paraId="1FDFFEB4" w14:textId="1557151D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Adjunta imagen:</w:t>
            </w:r>
          </w:p>
          <w:p w14:paraId="6F3AEFDE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4311057E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7F0C97B3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7EEE4BA3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2124A192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7D1A4F61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34B59ED6" w14:textId="77777777" w:rsidR="0062785E" w:rsidRDefault="0062785E" w:rsidP="006278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48D1C06B" w14:textId="77777777" w:rsidR="0062785E" w:rsidRPr="0062785E" w:rsidRDefault="0062785E" w:rsidP="006278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050BC606" w14:textId="04AABCEA" w:rsidR="003713D0" w:rsidRPr="0062785E" w:rsidRDefault="003713D0" w:rsidP="00371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Expresionismo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. Postulaba que era la vida interior del creador la que daba forma a la realidad representada, dándoles mayor releva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>ncia al sentimiento y a la emo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ción. Uno de sus representantes más importantes fue Edvard Munch (1863-1944). </w:t>
      </w:r>
      <w:r w:rsidRPr="003713D0">
        <w:rPr>
          <w:rFonts w:ascii="MS Mincho" w:eastAsia="MS Mincho" w:hAnsi="MS Mincho" w:cs="MS Mincho"/>
          <w:color w:val="000000" w:themeColor="text1"/>
          <w:lang w:val="es-ES_tradnl"/>
        </w:rPr>
        <w:t> 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785E" w14:paraId="716CC58A" w14:textId="77777777" w:rsidTr="0062785E">
        <w:tc>
          <w:tcPr>
            <w:tcW w:w="8828" w:type="dxa"/>
          </w:tcPr>
          <w:p w14:paraId="74E33EBC" w14:textId="1F6FCFF2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  <w:r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  <w:t>Adjunta imagen:</w:t>
            </w:r>
          </w:p>
          <w:p w14:paraId="4CEA9906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5EFD5637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37E1706B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6655A6D6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5EA29D0C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  <w:p w14:paraId="5D07058C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Theme="minorHAnsi" w:hAnsiTheme="minorHAnsi" w:cs="Times"/>
                <w:color w:val="000000" w:themeColor="text1"/>
                <w:lang w:val="es-ES_tradnl"/>
              </w:rPr>
            </w:pPr>
          </w:p>
        </w:tc>
      </w:tr>
    </w:tbl>
    <w:p w14:paraId="251E192D" w14:textId="77777777" w:rsidR="0062785E" w:rsidRPr="003713D0" w:rsidRDefault="0062785E" w:rsidP="0062785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p w14:paraId="20896835" w14:textId="77777777" w:rsidR="0062785E" w:rsidRDefault="003713D0" w:rsidP="003713D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ind w:hanging="720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  <w:r w:rsidRPr="003713D0">
        <w:rPr>
          <w:rFonts w:asciiTheme="minorHAnsi" w:eastAsiaTheme="minorHAnsi" w:hAnsiTheme="minorHAnsi" w:cs="Times"/>
          <w:bCs/>
          <w:color w:val="000000" w:themeColor="text1"/>
          <w:lang w:val="es-ES_tradnl"/>
        </w:rPr>
        <w:t>Cubismo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>. Proponía representar el espacio en la pintura fragmentándolo en planos sólidos y permitiendo que distintos ángulos de la</w:t>
      </w:r>
      <w:r w:rsidR="0062785E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 imagen pudieran ser vistos si</w:t>
      </w:r>
      <w:r w:rsidRPr="003713D0">
        <w:rPr>
          <w:rFonts w:asciiTheme="minorHAnsi" w:eastAsiaTheme="minorHAnsi" w:hAnsiTheme="minorHAnsi" w:cs="Times"/>
          <w:color w:val="000000" w:themeColor="text1"/>
          <w:lang w:val="es-ES_tradnl"/>
        </w:rPr>
        <w:t xml:space="preserve">multáneamente. Algunas figuras fueron Pablo Picasso (1881-1973) y Georges Braque (1882-1963).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2785E" w14:paraId="4EB8C930" w14:textId="77777777" w:rsidTr="0062785E">
        <w:tc>
          <w:tcPr>
            <w:tcW w:w="8828" w:type="dxa"/>
          </w:tcPr>
          <w:p w14:paraId="1EB8773E" w14:textId="25C33F98" w:rsidR="0062785E" w:rsidRP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Theme="minorHAnsi" w:eastAsia="MS Mincho" w:hAnsiTheme="minorHAnsi" w:cs="MS Mincho"/>
                <w:color w:val="000000" w:themeColor="text1"/>
                <w:lang w:val="es-ES_tradnl"/>
              </w:rPr>
            </w:pPr>
            <w:r w:rsidRPr="0062785E">
              <w:rPr>
                <w:rFonts w:asciiTheme="minorHAnsi" w:eastAsia="MS Mincho" w:hAnsiTheme="minorHAnsi" w:cs="MS Mincho"/>
                <w:color w:val="000000" w:themeColor="text1"/>
                <w:lang w:val="es-ES_tradnl"/>
              </w:rPr>
              <w:t>Adjunta imagen:</w:t>
            </w:r>
          </w:p>
          <w:p w14:paraId="4E6B7B4A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="MS Mincho" w:eastAsia="MS Mincho" w:hAnsi="MS Mincho" w:cs="MS Mincho"/>
                <w:color w:val="000000" w:themeColor="text1"/>
                <w:lang w:val="es-ES_tradnl"/>
              </w:rPr>
            </w:pPr>
          </w:p>
          <w:p w14:paraId="0C65B441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="MS Mincho" w:eastAsia="MS Mincho" w:hAnsi="MS Mincho" w:cs="MS Mincho"/>
                <w:color w:val="000000" w:themeColor="text1"/>
                <w:lang w:val="es-ES_tradnl"/>
              </w:rPr>
            </w:pPr>
          </w:p>
          <w:p w14:paraId="34C0EA72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="MS Mincho" w:eastAsia="MS Mincho" w:hAnsi="MS Mincho" w:cs="MS Mincho"/>
                <w:color w:val="000000" w:themeColor="text1"/>
                <w:lang w:val="es-ES_tradnl"/>
              </w:rPr>
            </w:pPr>
          </w:p>
          <w:p w14:paraId="521AB9C5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="MS Mincho" w:eastAsia="MS Mincho" w:hAnsi="MS Mincho" w:cs="MS Mincho"/>
                <w:color w:val="000000" w:themeColor="text1"/>
                <w:lang w:val="es-ES_tradnl"/>
              </w:rPr>
            </w:pPr>
          </w:p>
          <w:p w14:paraId="2E46019E" w14:textId="77777777" w:rsidR="0062785E" w:rsidRDefault="0062785E" w:rsidP="0062785E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93" w:line="340" w:lineRule="atLeast"/>
              <w:jc w:val="both"/>
              <w:rPr>
                <w:rFonts w:ascii="MS Mincho" w:eastAsia="MS Mincho" w:hAnsi="MS Mincho" w:cs="MS Mincho"/>
                <w:color w:val="000000" w:themeColor="text1"/>
                <w:lang w:val="es-ES_tradnl"/>
              </w:rPr>
            </w:pPr>
          </w:p>
        </w:tc>
      </w:tr>
    </w:tbl>
    <w:p w14:paraId="66920593" w14:textId="0DC54328" w:rsidR="003713D0" w:rsidRPr="006B17C3" w:rsidRDefault="003713D0" w:rsidP="006B17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 w:line="340" w:lineRule="atLeast"/>
        <w:jc w:val="both"/>
        <w:rPr>
          <w:rFonts w:asciiTheme="minorHAnsi" w:eastAsiaTheme="minorHAnsi" w:hAnsiTheme="minorHAnsi" w:cs="Times"/>
          <w:color w:val="000000" w:themeColor="text1"/>
          <w:lang w:val="es-ES_tradnl"/>
        </w:rPr>
      </w:pPr>
    </w:p>
    <w:sectPr w:rsidR="003713D0" w:rsidRPr="006B17C3" w:rsidSect="00CD14D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29CBF" w14:textId="77777777" w:rsidR="000B3BAA" w:rsidRDefault="000B3BAA" w:rsidP="00191E23">
      <w:pPr>
        <w:spacing w:after="0" w:line="240" w:lineRule="auto"/>
      </w:pPr>
      <w:r>
        <w:separator/>
      </w:r>
    </w:p>
  </w:endnote>
  <w:endnote w:type="continuationSeparator" w:id="0">
    <w:p w14:paraId="1379F4E5" w14:textId="77777777" w:rsidR="000B3BAA" w:rsidRDefault="000B3BAA" w:rsidP="0019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ITC Officina Sans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69534" w14:textId="77777777" w:rsidR="000B3BAA" w:rsidRDefault="000B3BAA" w:rsidP="00191E23">
      <w:pPr>
        <w:spacing w:after="0" w:line="240" w:lineRule="auto"/>
      </w:pPr>
      <w:r>
        <w:separator/>
      </w:r>
    </w:p>
  </w:footnote>
  <w:footnote w:type="continuationSeparator" w:id="0">
    <w:p w14:paraId="08024975" w14:textId="77777777" w:rsidR="000B3BAA" w:rsidRDefault="000B3BAA" w:rsidP="0019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E77DB" w14:textId="77777777" w:rsidR="00191E23" w:rsidRDefault="00191E23" w:rsidP="00191E23">
    <w:pPr>
      <w:spacing w:after="0" w:line="240" w:lineRule="auto"/>
      <w:jc w:val="both"/>
      <w:rPr>
        <w:rFonts w:ascii="Times New Roman" w:eastAsia="Times New Roman" w:hAnsi="Times New Roman"/>
      </w:rPr>
    </w:pPr>
    <w:r>
      <w:rPr>
        <w:rFonts w:ascii="Times New Roman" w:eastAsia="Times New Roman" w:hAnsi="Times New Roman"/>
      </w:rPr>
      <w:t>Colegio Santa María de Maipú</w:t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hidden="0" allowOverlap="1" wp14:anchorId="0286D585" wp14:editId="09BA026C">
          <wp:simplePos x="0" y="0"/>
          <wp:positionH relativeFrom="column">
            <wp:posOffset>-19049</wp:posOffset>
          </wp:positionH>
          <wp:positionV relativeFrom="paragraph">
            <wp:posOffset>-54609</wp:posOffset>
          </wp:positionV>
          <wp:extent cx="342900" cy="408305"/>
          <wp:effectExtent l="0" t="0" r="0" b="0"/>
          <wp:wrapSquare wrapText="bothSides" distT="0" distB="0" distL="114300" distR="114300"/>
          <wp:docPr id="2" name="image2.jpg" descr="Logo BL MI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L MI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290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D1DFBA" w14:textId="691916A6" w:rsidR="00191E23" w:rsidRDefault="00191E23" w:rsidP="00191E23">
    <w:pPr>
      <w:pStyle w:val="Encabezado"/>
    </w:pPr>
    <w:r>
      <w:rPr>
        <w:rFonts w:ascii="Times New Roman" w:eastAsia="Times New Roman" w:hAnsi="Times New Roman"/>
      </w:rPr>
      <w:t>Departamento Historia</w:t>
    </w:r>
    <w:r>
      <w:rPr>
        <w:rFonts w:ascii="Times New Roman" w:eastAsia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8"/>
    <w:rsid w:val="000167EA"/>
    <w:rsid w:val="000B3BAA"/>
    <w:rsid w:val="0011515B"/>
    <w:rsid w:val="00140408"/>
    <w:rsid w:val="00191E23"/>
    <w:rsid w:val="001C2208"/>
    <w:rsid w:val="0020395E"/>
    <w:rsid w:val="002807F8"/>
    <w:rsid w:val="003713D0"/>
    <w:rsid w:val="00393602"/>
    <w:rsid w:val="004D23C4"/>
    <w:rsid w:val="004E12BB"/>
    <w:rsid w:val="0061726B"/>
    <w:rsid w:val="0062785E"/>
    <w:rsid w:val="00652A5B"/>
    <w:rsid w:val="00664217"/>
    <w:rsid w:val="00673EA2"/>
    <w:rsid w:val="00695242"/>
    <w:rsid w:val="006B17C3"/>
    <w:rsid w:val="006B4250"/>
    <w:rsid w:val="006D144F"/>
    <w:rsid w:val="00A01E9B"/>
    <w:rsid w:val="00AD5585"/>
    <w:rsid w:val="00AF016B"/>
    <w:rsid w:val="00B165E7"/>
    <w:rsid w:val="00BD5460"/>
    <w:rsid w:val="00C71EF3"/>
    <w:rsid w:val="00CB5584"/>
    <w:rsid w:val="00CD14D0"/>
    <w:rsid w:val="00E4647A"/>
    <w:rsid w:val="00E974B0"/>
    <w:rsid w:val="00F50E79"/>
    <w:rsid w:val="00F802B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54C9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2B8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F802B8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802B8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1E23"/>
    <w:rPr>
      <w:rFonts w:ascii="Calibri" w:eastAsia="Calibri" w:hAnsi="Calibri" w:cs="Times New Roman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91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1E23"/>
    <w:rPr>
      <w:rFonts w:ascii="Calibri" w:eastAsia="Calibri" w:hAnsi="Calibri" w:cs="Times New Roman"/>
      <w:sz w:val="22"/>
      <w:szCs w:val="22"/>
      <w:lang w:val="es-CL"/>
    </w:rPr>
  </w:style>
  <w:style w:type="paragraph" w:styleId="Subttulo">
    <w:name w:val="Subtitle"/>
    <w:basedOn w:val="Normal"/>
    <w:next w:val="Normal"/>
    <w:link w:val="SubttuloCar"/>
    <w:rsid w:val="00191E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character" w:customStyle="1" w:styleId="SubttuloCar">
    <w:name w:val="Subtítulo Car"/>
    <w:basedOn w:val="Fuentedeprrafopredeter"/>
    <w:link w:val="Subttulo"/>
    <w:rsid w:val="00191E23"/>
    <w:rPr>
      <w:rFonts w:ascii="Georgia" w:eastAsia="Georgia" w:hAnsi="Georgia" w:cs="Georgia"/>
      <w:i/>
      <w:color w:val="666666"/>
      <w:sz w:val="48"/>
      <w:szCs w:val="48"/>
      <w:lang w:val="es-MX" w:eastAsia="es-ES_tradnl"/>
    </w:rPr>
  </w:style>
  <w:style w:type="paragraph" w:styleId="Sinespaciado">
    <w:name w:val="No Spacing"/>
    <w:uiPriority w:val="1"/>
    <w:qFormat/>
    <w:rsid w:val="00AF016B"/>
    <w:rPr>
      <w:rFonts w:ascii="Calibri" w:eastAsia="Calibri" w:hAnsi="Calibri" w:cs="Times New Roman"/>
      <w:sz w:val="22"/>
      <w:szCs w:val="22"/>
      <w:lang w:val="es-VE"/>
    </w:rPr>
  </w:style>
  <w:style w:type="character" w:styleId="Hipervnculovisitado">
    <w:name w:val="FollowedHyperlink"/>
    <w:basedOn w:val="Fuentedeprrafopredeter"/>
    <w:uiPriority w:val="99"/>
    <w:semiHidden/>
    <w:unhideWhenUsed/>
    <w:rsid w:val="00FF2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986</Words>
  <Characters>5423</Characters>
  <Application>Microsoft Macintosh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29</cp:revision>
  <dcterms:created xsi:type="dcterms:W3CDTF">2020-03-16T14:23:00Z</dcterms:created>
  <dcterms:modified xsi:type="dcterms:W3CDTF">2020-03-19T20:11:00Z</dcterms:modified>
</cp:coreProperties>
</file>