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110" w14:textId="5CF1A117" w:rsidR="00E6126E" w:rsidRPr="00AF016B" w:rsidRDefault="00057A79" w:rsidP="00E6126E">
      <w:pPr>
        <w:spacing w:after="0" w:line="240" w:lineRule="auto"/>
        <w:jc w:val="center"/>
        <w:rPr>
          <w:szCs w:val="24"/>
          <w:u w:val="single"/>
        </w:rPr>
      </w:pPr>
      <w:r>
        <w:rPr>
          <w:szCs w:val="24"/>
          <w:u w:val="single"/>
        </w:rPr>
        <w:t>GUÍA DE AUTO-APRENDIZAJE N°6</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6DF54D65" w:rsidR="00E6126E" w:rsidRPr="00AF016B" w:rsidRDefault="00057A79" w:rsidP="00E6126E">
      <w:pPr>
        <w:spacing w:after="0" w:line="240" w:lineRule="auto"/>
        <w:ind w:left="142"/>
        <w:jc w:val="center"/>
        <w:rPr>
          <w:sz w:val="24"/>
          <w:szCs w:val="24"/>
          <w:u w:val="single"/>
        </w:rPr>
      </w:pPr>
      <w:r>
        <w:rPr>
          <w:sz w:val="24"/>
          <w:szCs w:val="24"/>
          <w:u w:val="single"/>
        </w:rPr>
        <w:t>IV</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286190">
        <w:trPr>
          <w:trHeight w:val="1005"/>
        </w:trPr>
        <w:tc>
          <w:tcPr>
            <w:tcW w:w="9073" w:type="dxa"/>
          </w:tcPr>
          <w:p w14:paraId="479459A0" w14:textId="512CDE87" w:rsidR="00AB54D0" w:rsidRDefault="001E4D01" w:rsidP="00286190">
            <w:pPr>
              <w:jc w:val="both"/>
              <w:rPr>
                <w:sz w:val="24"/>
              </w:rPr>
            </w:pPr>
            <w:r w:rsidRPr="00286190">
              <w:rPr>
                <w:rFonts w:ascii="Times New Roman" w:hAnsi="Times New Roman"/>
                <w:bCs/>
                <w:sz w:val="24"/>
              </w:rPr>
              <w:t xml:space="preserve">OA: </w:t>
            </w:r>
            <w:r w:rsidR="00057A79" w:rsidRPr="00057A79">
              <w:rPr>
                <w:rFonts w:ascii="Times New Roman" w:eastAsia="Arial Narrow" w:hAnsi="Times New Roman"/>
                <w:sz w:val="24"/>
              </w:rPr>
              <w:t>Comprender y analizar el funcionamiento del sistema judicial en Chile, considerando los principales rasgos del sistema procesal penal y civil, así como las responsabilidades penales y civiles, mediante casos reales y vigentes</w:t>
            </w:r>
            <w:r w:rsidR="00057A79">
              <w:rPr>
                <w:rFonts w:ascii="Times New Roman" w:eastAsia="Arial Narrow" w:hAnsi="Times New Roman"/>
                <w:sz w:val="24"/>
              </w:rPr>
              <w:t>.</w:t>
            </w:r>
          </w:p>
          <w:p w14:paraId="4B2A96F5" w14:textId="77777777" w:rsidR="00800582" w:rsidRDefault="00CF06B3" w:rsidP="00CF06B3">
            <w:pPr>
              <w:jc w:val="both"/>
              <w:rPr>
                <w:rFonts w:ascii="Times New Roman" w:hAnsi="Times New Roman"/>
                <w:bCs/>
                <w:sz w:val="24"/>
                <w:szCs w:val="32"/>
              </w:rPr>
            </w:pPr>
            <w:r>
              <w:rPr>
                <w:rFonts w:ascii="Times New Roman" w:hAnsi="Times New Roman"/>
                <w:bCs/>
                <w:sz w:val="24"/>
                <w:szCs w:val="32"/>
              </w:rPr>
              <w:t>Link del vídeo en el canal de youtube de Historia:</w:t>
            </w:r>
            <w:r w:rsidR="00800582">
              <w:rPr>
                <w:rFonts w:ascii="Times New Roman" w:hAnsi="Times New Roman"/>
                <w:bCs/>
                <w:sz w:val="24"/>
                <w:szCs w:val="32"/>
              </w:rPr>
              <w:t xml:space="preserve"> </w:t>
            </w:r>
          </w:p>
          <w:p w14:paraId="28D5A33F" w14:textId="280FBE2E" w:rsidR="001E2770" w:rsidRDefault="005365D3" w:rsidP="00CF06B3">
            <w:pPr>
              <w:jc w:val="both"/>
              <w:rPr>
                <w:rFonts w:ascii="Times New Roman" w:hAnsi="Times New Roman"/>
                <w:bCs/>
                <w:sz w:val="24"/>
                <w:szCs w:val="32"/>
              </w:rPr>
            </w:pPr>
            <w:hyperlink r:id="rId7" w:history="1">
              <w:r w:rsidR="001E2770" w:rsidRPr="00E4229C">
                <w:rPr>
                  <w:rStyle w:val="Hipervnculo"/>
                  <w:rFonts w:ascii="Times New Roman" w:hAnsi="Times New Roman"/>
                  <w:bCs/>
                  <w:sz w:val="24"/>
                  <w:szCs w:val="32"/>
                </w:rPr>
                <w:t>https://www.youtube.com/watch?v=ifmgGVyJlXg&amp;feature=youtu.be</w:t>
              </w:r>
            </w:hyperlink>
          </w:p>
          <w:p w14:paraId="39D20A30" w14:textId="0F76872F" w:rsidR="00057A79" w:rsidRDefault="00CF06B3" w:rsidP="00CF06B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00057A79" w:rsidRPr="00DD58B4">
                <w:rPr>
                  <w:rStyle w:val="Hipervnculo"/>
                  <w:rFonts w:ascii="Times New Roman" w:hAnsi="Times New Roman"/>
                  <w:bCs/>
                  <w:sz w:val="24"/>
                  <w:szCs w:val="32"/>
                </w:rPr>
                <w:t>historia.iv.smm@gmail.com</w:t>
              </w:r>
            </w:hyperlink>
          </w:p>
          <w:p w14:paraId="0BCB9E88" w14:textId="75581187" w:rsidR="009A000B" w:rsidRPr="00286190" w:rsidRDefault="009A000B" w:rsidP="00CF06B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411003B3" w14:textId="767E4C18" w:rsidR="00C51FEB" w:rsidRDefault="002A0268" w:rsidP="00C51FEB">
      <w:pPr>
        <w:widowControl w:val="0"/>
        <w:autoSpaceDE w:val="0"/>
        <w:autoSpaceDN w:val="0"/>
        <w:adjustRightInd w:val="0"/>
        <w:spacing w:after="240" w:line="300" w:lineRule="atLeast"/>
        <w:jc w:val="both"/>
        <w:rPr>
          <w:rFonts w:ascii="Times New Roman" w:hAnsi="Times New Roman"/>
          <w:color w:val="000000" w:themeColor="text1"/>
          <w:sz w:val="24"/>
          <w:szCs w:val="24"/>
        </w:rPr>
      </w:pPr>
      <w:r w:rsidRPr="00F077AE">
        <w:rPr>
          <w:rFonts w:ascii="Times New Roman" w:hAnsi="Times New Roman"/>
          <w:color w:val="000000" w:themeColor="text1"/>
          <w:sz w:val="24"/>
          <w:szCs w:val="24"/>
        </w:rPr>
        <w:t>I.</w:t>
      </w:r>
      <w:r w:rsidR="001D5821">
        <w:rPr>
          <w:rFonts w:ascii="Times New Roman" w:hAnsi="Times New Roman"/>
          <w:color w:val="000000" w:themeColor="text1"/>
          <w:sz w:val="24"/>
          <w:szCs w:val="24"/>
        </w:rPr>
        <w:t xml:space="preserve"> Lee </w:t>
      </w:r>
      <w:r w:rsidR="00C51FEB">
        <w:rPr>
          <w:rFonts w:ascii="Times New Roman" w:hAnsi="Times New Roman"/>
          <w:color w:val="000000" w:themeColor="text1"/>
          <w:sz w:val="24"/>
          <w:szCs w:val="24"/>
        </w:rPr>
        <w:t xml:space="preserve"> el siguiente fragmento fuente y luego </w:t>
      </w:r>
      <w:r w:rsidR="001D5821">
        <w:rPr>
          <w:rFonts w:ascii="Times New Roman" w:hAnsi="Times New Roman"/>
          <w:color w:val="000000" w:themeColor="text1"/>
          <w:sz w:val="24"/>
          <w:szCs w:val="24"/>
        </w:rPr>
        <w:t>responde las preguntas a continuación:</w:t>
      </w:r>
      <w:r w:rsidRPr="00F077AE">
        <w:rPr>
          <w:rFonts w:ascii="Times New Roman" w:hAnsi="Times New Roman"/>
          <w:color w:val="000000" w:themeColor="text1"/>
          <w:sz w:val="24"/>
          <w:szCs w:val="24"/>
        </w:rPr>
        <w:t xml:space="preserve"> </w:t>
      </w:r>
    </w:p>
    <w:p w14:paraId="663A19B8" w14:textId="77777777"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Hoy se realizará audiencia en el Centro de Justicia:</w:t>
      </w:r>
    </w:p>
    <w:p w14:paraId="1E6AC1B2" w14:textId="5DF9A25A" w:rsidR="00C51FEB" w:rsidRPr="00C51FEB" w:rsidRDefault="00C51FEB" w:rsidP="00C51FEB">
      <w:pPr>
        <w:spacing w:after="0" w:line="240" w:lineRule="auto"/>
        <w:jc w:val="both"/>
        <w:rPr>
          <w:rFonts w:ascii="Times New Roman" w:hAnsi="Times New Roman"/>
          <w:i/>
          <w:sz w:val="24"/>
        </w:rPr>
      </w:pPr>
      <w:r w:rsidRPr="00C51FEB">
        <w:rPr>
          <w:rFonts w:ascii="Times New Roman" w:hAnsi="Times New Roman"/>
          <w:i/>
          <w:sz w:val="24"/>
        </w:rPr>
        <w:br/>
      </w:r>
      <w:r w:rsidRPr="00C51FEB">
        <w:rPr>
          <w:rStyle w:val="titulo2"/>
          <w:rFonts w:ascii="Times New Roman" w:hAnsi="Times New Roman"/>
          <w:i/>
          <w:sz w:val="24"/>
        </w:rPr>
        <w:t>María del Pilar Pérez reaparece en tribunales para pedir a juez medidas de seguridad en penal</w:t>
      </w:r>
    </w:p>
    <w:p w14:paraId="00959113" w14:textId="77777777" w:rsidR="00C51FEB" w:rsidRPr="00C51FEB" w:rsidRDefault="00C51FEB" w:rsidP="00C51FEB">
      <w:pPr>
        <w:spacing w:after="0" w:line="240" w:lineRule="auto"/>
        <w:jc w:val="both"/>
        <w:rPr>
          <w:rFonts w:ascii="Times New Roman" w:hAnsi="Times New Roman"/>
          <w:i/>
          <w:sz w:val="24"/>
        </w:rPr>
      </w:pPr>
    </w:p>
    <w:p w14:paraId="04EB3D5A"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La mujer, condenada a presidio perpetuo por triple homicidio, acusa haber sido amenazada y golpeada por otra reclusa.  </w:t>
      </w:r>
      <w:r w:rsidRPr="00C51FEB">
        <w:rPr>
          <w:rFonts w:ascii="Times New Roman" w:hAnsi="Times New Roman"/>
          <w:i/>
          <w:sz w:val="24"/>
        </w:rPr>
        <w:t xml:space="preserve"> </w:t>
      </w:r>
      <w:r w:rsidRPr="00C51FEB">
        <w:rPr>
          <w:rStyle w:val="titulo1"/>
          <w:rFonts w:ascii="Times New Roman" w:hAnsi="Times New Roman"/>
          <w:i/>
          <w:sz w:val="24"/>
        </w:rPr>
        <w:t>Cinthya Carvajal "Voy a salir tarde o temprano y la verdad saldrá a la luz". Eso fue lo que dijo María del Pilar Pérez a "Revista Sábado" el 2 de julio del 2011, en una de sus últimas apariciones en medios de comunicación.</w:t>
      </w:r>
    </w:p>
    <w:p w14:paraId="4F9D690E" w14:textId="77777777" w:rsidR="00C51FEB" w:rsidRPr="00C51FEB" w:rsidRDefault="00C51FEB" w:rsidP="00C51FEB">
      <w:pPr>
        <w:spacing w:after="0" w:line="240" w:lineRule="auto"/>
        <w:jc w:val="both"/>
        <w:rPr>
          <w:rFonts w:ascii="Times New Roman" w:hAnsi="Times New Roman"/>
          <w:i/>
          <w:sz w:val="24"/>
        </w:rPr>
      </w:pPr>
    </w:p>
    <w:p w14:paraId="3B11CB6C"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La mujer, de 63 años, cumple una doble condena de presidio perpetuo calificado. Hace cuatro años, la justicia la declaró culpable como autora intelectual del asesinato del joven universitario Diego Schmidt-Hebbel -novio de su sobrina- y el de su ex marido, el arquitecto Francisco Zamorano, y su pareja, el tecnólogo Héctor Arévalo.</w:t>
      </w:r>
    </w:p>
    <w:p w14:paraId="34B5C201" w14:textId="77777777" w:rsidR="00C51FEB" w:rsidRPr="00C51FEB" w:rsidRDefault="00C51FEB" w:rsidP="00C51FEB">
      <w:pPr>
        <w:spacing w:after="0" w:line="240" w:lineRule="auto"/>
        <w:jc w:val="both"/>
        <w:rPr>
          <w:rFonts w:ascii="Times New Roman" w:hAnsi="Times New Roman"/>
          <w:i/>
          <w:sz w:val="24"/>
        </w:rPr>
      </w:pPr>
    </w:p>
    <w:p w14:paraId="3BE07D0D"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Hoy, Pérez retornaría a tribunales. Pero en esta ocasión como víctima.</w:t>
      </w:r>
    </w:p>
    <w:p w14:paraId="2E2A29A6" w14:textId="77777777" w:rsidR="00C51FEB" w:rsidRPr="00C51FEB" w:rsidRDefault="00C51FEB" w:rsidP="00C51FEB">
      <w:pPr>
        <w:spacing w:after="0" w:line="240" w:lineRule="auto"/>
        <w:jc w:val="both"/>
        <w:rPr>
          <w:rFonts w:ascii="Times New Roman" w:hAnsi="Times New Roman"/>
          <w:i/>
          <w:sz w:val="24"/>
        </w:rPr>
      </w:pPr>
    </w:p>
    <w:p w14:paraId="4CD62FDC" w14:textId="77777777"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El juez del 8° Juzgado de Garantía de Santiago, Daniel Aravena, fijó para este lunes a las 13:45 horas una audiencia para revisar la situación intrapenitenciaria de quien -tras protagonizar uno de los casos policiales más escabrosos de la reforma procesal penal- fuera apodada como "La Quintrala".</w:t>
      </w:r>
    </w:p>
    <w:p w14:paraId="228C9B8D" w14:textId="4E93146C" w:rsidR="00C51FEB" w:rsidRPr="00C51FEB" w:rsidRDefault="00C51FEB" w:rsidP="00C51FEB">
      <w:pPr>
        <w:spacing w:after="0" w:line="240" w:lineRule="auto"/>
        <w:jc w:val="both"/>
        <w:rPr>
          <w:rFonts w:ascii="Times New Roman" w:hAnsi="Times New Roman"/>
          <w:i/>
          <w:sz w:val="24"/>
        </w:rPr>
      </w:pPr>
      <w:r w:rsidRPr="00C51FEB">
        <w:rPr>
          <w:rFonts w:ascii="Times New Roman" w:hAnsi="Times New Roman"/>
          <w:i/>
          <w:sz w:val="24"/>
        </w:rPr>
        <w:lastRenderedPageBreak/>
        <w:br/>
      </w:r>
      <w:r w:rsidRPr="00C51FEB">
        <w:rPr>
          <w:rStyle w:val="titulo1"/>
          <w:rFonts w:ascii="Times New Roman" w:hAnsi="Times New Roman"/>
          <w:i/>
          <w:sz w:val="24"/>
        </w:rPr>
        <w:t>El abogado Antonio Garafulic presentó el 20 de octubre un escrito al tribunal solicitando una cautela de garantías a favor de Pérez. Según ese documento, la arquitecta habría recibido "una serie de amenazas y golpes" por parte de otra interna del Centro Penitenciario Femenino de Santiago, ubicado en la comuna de San Joaquín.</w:t>
      </w:r>
    </w:p>
    <w:p w14:paraId="07382653" w14:textId="77777777" w:rsidR="00C51FEB" w:rsidRPr="00C51FEB" w:rsidRDefault="00C51FEB" w:rsidP="00C51FEB">
      <w:pPr>
        <w:spacing w:after="0" w:line="240" w:lineRule="auto"/>
        <w:jc w:val="both"/>
        <w:rPr>
          <w:rFonts w:ascii="Times New Roman" w:hAnsi="Times New Roman"/>
          <w:i/>
          <w:sz w:val="24"/>
        </w:rPr>
      </w:pPr>
    </w:p>
    <w:p w14:paraId="1022F72D" w14:textId="6F140BC9"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María del Pilar Pérez pasa su condena perpetua en un módulo especial de dicho recinto penal, denominado "sección de custodia". En ese lugar habitan también otras internas protagonistas de casos policiales, como Jeannette Hernández, condenada por asesinar a su hijo de 7 años, Esteban Rojo, y de lesionar de gravedad al hermano de este</w:t>
      </w:r>
      <w:r>
        <w:rPr>
          <w:rStyle w:val="titulo1"/>
          <w:rFonts w:ascii="Times New Roman" w:hAnsi="Times New Roman"/>
          <w:i/>
          <w:sz w:val="24"/>
        </w:rPr>
        <w:t xml:space="preserve"> y su primogénito </w:t>
      </w:r>
      <w:r w:rsidRPr="00C51FEB">
        <w:rPr>
          <w:rStyle w:val="titulo1"/>
          <w:rFonts w:ascii="Times New Roman" w:hAnsi="Times New Roman"/>
          <w:i/>
          <w:sz w:val="24"/>
        </w:rPr>
        <w:t>Pablo Rojo</w:t>
      </w:r>
    </w:p>
    <w:p w14:paraId="28713597" w14:textId="77777777" w:rsidR="00C51FEB" w:rsidRPr="00C51FEB" w:rsidRDefault="00C51FEB" w:rsidP="00C51FEB">
      <w:pPr>
        <w:spacing w:after="0" w:line="240" w:lineRule="auto"/>
        <w:jc w:val="both"/>
        <w:rPr>
          <w:rStyle w:val="titulo1"/>
          <w:rFonts w:ascii="Times New Roman" w:hAnsi="Times New Roman"/>
          <w:i/>
          <w:sz w:val="24"/>
        </w:rPr>
      </w:pPr>
    </w:p>
    <w:p w14:paraId="1A21BD32" w14:textId="77777777"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 xml:space="preserve">Busca su expulsión. </w:t>
      </w:r>
    </w:p>
    <w:p w14:paraId="1B63EAC0"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Hasta ahora, la vida de Pérez había estado exenta de problemas en la cárcel. Solo se había tenido conocimiento de acciones judiciales emprendidas por "La Quintrala" para resguardar su patrimonio. Eso, hasta que llegó al módulo la interna Javiera Conmigual, condenada por homicidio a 3 años y un día.</w:t>
      </w:r>
    </w:p>
    <w:p w14:paraId="63319B71"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Según la cautela de garantía, esta última ha tenido "diversos problemas de convivencia y trato" con Pérez, los que se "han ido acrecentando"; tanto, que la semana pasada "habría sido víctima de amenazas de muerte y golpes" por parte de Conmigual, lo que fue denunciado a Gendarmería.</w:t>
      </w:r>
    </w:p>
    <w:p w14:paraId="01253A23" w14:textId="77777777" w:rsidR="00C51FEB" w:rsidRPr="00C51FEB" w:rsidRDefault="00C51FEB" w:rsidP="00C51FEB">
      <w:pPr>
        <w:spacing w:after="0" w:line="240" w:lineRule="auto"/>
        <w:jc w:val="both"/>
        <w:rPr>
          <w:rFonts w:ascii="Times New Roman" w:hAnsi="Times New Roman"/>
          <w:i/>
          <w:sz w:val="24"/>
        </w:rPr>
      </w:pPr>
    </w:p>
    <w:p w14:paraId="0C33FC67" w14:textId="77777777" w:rsidR="00C51FEB" w:rsidRPr="00C51FEB" w:rsidRDefault="00C51FEB" w:rsidP="00C51FEB">
      <w:pPr>
        <w:spacing w:after="0" w:line="240" w:lineRule="auto"/>
        <w:jc w:val="both"/>
        <w:rPr>
          <w:rFonts w:ascii="Times New Roman" w:hAnsi="Times New Roman"/>
          <w:sz w:val="24"/>
        </w:rPr>
      </w:pPr>
      <w:r w:rsidRPr="00C51FEB">
        <w:rPr>
          <w:rStyle w:val="titulo1"/>
          <w:rFonts w:ascii="Times New Roman" w:hAnsi="Times New Roman"/>
          <w:i/>
          <w:sz w:val="24"/>
        </w:rPr>
        <w:t>La defensa de Pérez solicitará hoy al tribunal que intervenga y expulse de ese módulo a la otra reclusa. El juez ordenó el traslado de "La Quintrala" a la audiencia.</w:t>
      </w:r>
      <w:r w:rsidRPr="00C51FEB">
        <w:rPr>
          <w:rFonts w:ascii="Times New Roman" w:hAnsi="Times New Roman"/>
          <w:sz w:val="24"/>
        </w:rPr>
        <w:br/>
      </w:r>
      <w:r w:rsidRPr="00C51FEB">
        <w:rPr>
          <w:rFonts w:ascii="Times New Roman" w:hAnsi="Times New Roman"/>
          <w:sz w:val="24"/>
        </w:rPr>
        <w:br/>
      </w:r>
      <w:r w:rsidRPr="00C51FEB">
        <w:rPr>
          <w:rStyle w:val="titulo1"/>
          <w:rFonts w:ascii="Times New Roman" w:hAnsi="Times New Roman"/>
          <w:sz w:val="24"/>
        </w:rPr>
        <w:t> </w:t>
      </w:r>
    </w:p>
    <w:p w14:paraId="4166AAED" w14:textId="12CA7EEF" w:rsidR="00C51FEB" w:rsidRPr="00C51FEB" w:rsidRDefault="00C51FEB" w:rsidP="00C51FEB">
      <w:pPr>
        <w:spacing w:after="0" w:line="240" w:lineRule="auto"/>
        <w:jc w:val="both"/>
        <w:rPr>
          <w:rFonts w:ascii="Times New Roman" w:hAnsi="Times New Roman"/>
          <w:sz w:val="24"/>
          <w:lang w:val="es-ES"/>
        </w:rPr>
      </w:pPr>
      <w:r w:rsidRPr="00C51FEB">
        <w:rPr>
          <w:rFonts w:ascii="Times New Roman" w:hAnsi="Times New Roman"/>
          <w:sz w:val="24"/>
        </w:rPr>
        <w:t xml:space="preserve">1. Identifique y define las funciones de los distintos actores involucrados en el caso, (como por ejemplo Imputado, </w:t>
      </w:r>
      <w:r w:rsidRPr="00C51FEB">
        <w:rPr>
          <w:rFonts w:ascii="Times New Roman" w:hAnsi="Times New Roman"/>
          <w:sz w:val="24"/>
          <w:lang w:val="es-ES"/>
        </w:rPr>
        <w:t>Juez de garantía</w:t>
      </w:r>
      <w:r w:rsidRPr="00C51FEB">
        <w:rPr>
          <w:rFonts w:ascii="Times New Roman" w:hAnsi="Times New Roman"/>
          <w:sz w:val="24"/>
        </w:rPr>
        <w:t xml:space="preserve">, </w:t>
      </w:r>
      <w:r w:rsidRPr="00C51FEB">
        <w:rPr>
          <w:rFonts w:ascii="Times New Roman" w:hAnsi="Times New Roman"/>
          <w:sz w:val="24"/>
          <w:lang w:val="es-ES"/>
        </w:rPr>
        <w:t>Jueces del tribunal oral en lo penal</w:t>
      </w:r>
      <w:r w:rsidRPr="00C51FEB">
        <w:rPr>
          <w:rFonts w:ascii="Times New Roman" w:hAnsi="Times New Roman"/>
          <w:sz w:val="24"/>
        </w:rPr>
        <w:t xml:space="preserve">, </w:t>
      </w:r>
      <w:r w:rsidRPr="00C51FEB">
        <w:rPr>
          <w:rFonts w:ascii="Times New Roman" w:hAnsi="Times New Roman"/>
          <w:sz w:val="24"/>
          <w:lang w:val="es-ES"/>
        </w:rPr>
        <w:t>Fiscal</w:t>
      </w:r>
      <w:r w:rsidRPr="00C51FEB">
        <w:rPr>
          <w:rFonts w:ascii="Times New Roman" w:hAnsi="Times New Roman"/>
          <w:sz w:val="24"/>
        </w:rPr>
        <w:t xml:space="preserve">, </w:t>
      </w:r>
      <w:r w:rsidRPr="00C51FEB">
        <w:rPr>
          <w:rFonts w:ascii="Times New Roman" w:hAnsi="Times New Roman"/>
          <w:sz w:val="24"/>
          <w:lang w:val="es-ES"/>
        </w:rPr>
        <w:t xml:space="preserve">Defensores públicos, guardias, etc. </w:t>
      </w:r>
    </w:p>
    <w:tbl>
      <w:tblPr>
        <w:tblStyle w:val="Tablaconcuadrcula"/>
        <w:tblW w:w="0" w:type="auto"/>
        <w:tblLook w:val="04A0" w:firstRow="1" w:lastRow="0" w:firstColumn="1" w:lastColumn="0" w:noHBand="0" w:noVBand="1"/>
      </w:tblPr>
      <w:tblGrid>
        <w:gridCol w:w="8828"/>
      </w:tblGrid>
      <w:tr w:rsidR="00C51FEB" w14:paraId="43A5140D" w14:textId="77777777" w:rsidTr="00C51FEB">
        <w:tc>
          <w:tcPr>
            <w:tcW w:w="8828" w:type="dxa"/>
          </w:tcPr>
          <w:p w14:paraId="4A5795D5" w14:textId="7A18A6E5" w:rsidR="00B529DD" w:rsidRPr="00B529DD" w:rsidRDefault="00B529DD" w:rsidP="00C51FEB">
            <w:pPr>
              <w:spacing w:after="0" w:line="240" w:lineRule="auto"/>
              <w:jc w:val="both"/>
              <w:rPr>
                <w:rFonts w:ascii="Times New Roman" w:hAnsi="Times New Roman"/>
                <w:color w:val="FF0000"/>
                <w:sz w:val="24"/>
                <w:lang w:val="es-ES"/>
              </w:rPr>
            </w:pPr>
            <w:r>
              <w:rPr>
                <w:rFonts w:ascii="Times New Roman" w:hAnsi="Times New Roman"/>
                <w:color w:val="FF0000"/>
                <w:sz w:val="24"/>
                <w:u w:val="single"/>
                <w:lang w:val="es-ES"/>
              </w:rPr>
              <w:t>Víctima</w:t>
            </w:r>
            <w:r w:rsidRPr="00B529DD">
              <w:rPr>
                <w:rFonts w:ascii="Times New Roman" w:hAnsi="Times New Roman"/>
                <w:color w:val="FF0000"/>
                <w:sz w:val="24"/>
                <w:u w:val="single"/>
                <w:lang w:val="es-ES"/>
              </w:rPr>
              <w:t>:</w:t>
            </w:r>
            <w:r w:rsidRPr="00B529DD">
              <w:rPr>
                <w:rFonts w:ascii="Times New Roman" w:hAnsi="Times New Roman"/>
                <w:color w:val="FF0000"/>
                <w:sz w:val="24"/>
                <w:lang w:val="es-ES"/>
              </w:rPr>
              <w:t xml:space="preserve"> María del Pilar Pérez, </w:t>
            </w:r>
            <w:r w:rsidRPr="00B529DD">
              <w:rPr>
                <w:rStyle w:val="titulo1"/>
                <w:rFonts w:ascii="Times New Roman" w:hAnsi="Times New Roman"/>
                <w:color w:val="FF0000"/>
                <w:sz w:val="24"/>
              </w:rPr>
              <w:t>condenada a presidio perpetuo</w:t>
            </w:r>
            <w:r w:rsidRPr="00B529DD">
              <w:rPr>
                <w:rFonts w:ascii="Times New Roman" w:hAnsi="Times New Roman"/>
                <w:color w:val="FF0000"/>
                <w:sz w:val="24"/>
                <w:lang w:val="es-ES"/>
              </w:rPr>
              <w:t xml:space="preserve"> y exige mayores medidas de seguridad. </w:t>
            </w:r>
          </w:p>
          <w:p w14:paraId="3300E602" w14:textId="77777777" w:rsidR="00B529DD" w:rsidRPr="00B529DD" w:rsidRDefault="00B529DD" w:rsidP="00C51FEB">
            <w:pPr>
              <w:spacing w:after="0" w:line="240" w:lineRule="auto"/>
              <w:jc w:val="both"/>
              <w:rPr>
                <w:rFonts w:ascii="Times New Roman" w:hAnsi="Times New Roman"/>
                <w:color w:val="FF0000"/>
                <w:sz w:val="24"/>
                <w:lang w:val="es-ES"/>
              </w:rPr>
            </w:pPr>
          </w:p>
          <w:p w14:paraId="4484BADC" w14:textId="4AFD8694" w:rsidR="00B529DD" w:rsidRPr="00B529DD" w:rsidRDefault="00B529DD" w:rsidP="00C51FEB">
            <w:pPr>
              <w:spacing w:after="0" w:line="240" w:lineRule="auto"/>
              <w:jc w:val="both"/>
              <w:rPr>
                <w:rStyle w:val="titulo1"/>
                <w:rFonts w:ascii="Times New Roman" w:hAnsi="Times New Roman"/>
                <w:color w:val="FF0000"/>
                <w:sz w:val="24"/>
              </w:rPr>
            </w:pPr>
            <w:r w:rsidRPr="00B529DD">
              <w:rPr>
                <w:rStyle w:val="titulo1"/>
                <w:rFonts w:ascii="Times New Roman" w:hAnsi="Times New Roman"/>
                <w:color w:val="FF0000"/>
                <w:sz w:val="24"/>
                <w:u w:val="single"/>
              </w:rPr>
              <w:t>El juez del 8° Juzgado de Garantía de Santiago</w:t>
            </w:r>
            <w:r>
              <w:rPr>
                <w:rStyle w:val="titulo1"/>
                <w:rFonts w:ascii="Times New Roman" w:hAnsi="Times New Roman"/>
                <w:color w:val="FF0000"/>
                <w:sz w:val="24"/>
              </w:rPr>
              <w:t xml:space="preserve">: </w:t>
            </w:r>
            <w:r w:rsidRPr="00B529DD">
              <w:rPr>
                <w:rStyle w:val="titulo1"/>
                <w:rFonts w:ascii="Times New Roman" w:hAnsi="Times New Roman"/>
                <w:color w:val="FF0000"/>
                <w:sz w:val="24"/>
              </w:rPr>
              <w:t>Daniel Aravena</w:t>
            </w:r>
            <w:r>
              <w:rPr>
                <w:rStyle w:val="titulo1"/>
                <w:rFonts w:ascii="Times New Roman" w:hAnsi="Times New Roman"/>
                <w:color w:val="FF0000"/>
                <w:sz w:val="24"/>
              </w:rPr>
              <w:t>, encargado de la audiencia.</w:t>
            </w:r>
          </w:p>
          <w:p w14:paraId="0DED8F63" w14:textId="77777777" w:rsidR="00B529DD" w:rsidRPr="00B529DD" w:rsidRDefault="00B529DD" w:rsidP="00C51FEB">
            <w:pPr>
              <w:spacing w:after="0" w:line="240" w:lineRule="auto"/>
              <w:jc w:val="both"/>
              <w:rPr>
                <w:rStyle w:val="titulo1"/>
                <w:rFonts w:ascii="Times New Roman" w:hAnsi="Times New Roman"/>
                <w:color w:val="FF0000"/>
                <w:sz w:val="24"/>
              </w:rPr>
            </w:pPr>
          </w:p>
          <w:p w14:paraId="0F3079D8" w14:textId="7B20C051" w:rsidR="00B529DD" w:rsidRPr="00B529DD" w:rsidRDefault="00B529DD" w:rsidP="00C51FEB">
            <w:pPr>
              <w:spacing w:after="0" w:line="240" w:lineRule="auto"/>
              <w:jc w:val="both"/>
              <w:rPr>
                <w:rStyle w:val="titulo1"/>
                <w:rFonts w:ascii="Times New Roman" w:hAnsi="Times New Roman"/>
                <w:color w:val="FF0000"/>
                <w:sz w:val="24"/>
              </w:rPr>
            </w:pPr>
            <w:r w:rsidRPr="00B529DD">
              <w:rPr>
                <w:rStyle w:val="titulo1"/>
                <w:rFonts w:ascii="Times New Roman" w:hAnsi="Times New Roman"/>
                <w:color w:val="FF0000"/>
                <w:sz w:val="24"/>
                <w:u w:val="single"/>
              </w:rPr>
              <w:t>Fiscal:</w:t>
            </w:r>
            <w:r>
              <w:rPr>
                <w:rStyle w:val="titulo1"/>
                <w:rFonts w:ascii="Times New Roman" w:hAnsi="Times New Roman"/>
                <w:color w:val="FF0000"/>
                <w:sz w:val="24"/>
              </w:rPr>
              <w:t xml:space="preserve"> </w:t>
            </w:r>
            <w:r w:rsidRPr="00B529DD">
              <w:rPr>
                <w:rStyle w:val="titulo1"/>
                <w:rFonts w:ascii="Times New Roman" w:hAnsi="Times New Roman"/>
                <w:color w:val="FF0000"/>
                <w:sz w:val="24"/>
              </w:rPr>
              <w:t>El abogado Antonio Garafulic presentó el 20 de octubre un escrito al tribunal solicitando una cautela de garantías a favor de Pérez</w:t>
            </w:r>
            <w:r w:rsidRPr="00B529DD">
              <w:rPr>
                <w:rStyle w:val="titulo1"/>
                <w:rFonts w:ascii="Times New Roman" w:hAnsi="Times New Roman"/>
                <w:color w:val="FF0000"/>
                <w:sz w:val="24"/>
              </w:rPr>
              <w:t>.</w:t>
            </w:r>
          </w:p>
          <w:p w14:paraId="517E6DF9" w14:textId="77777777" w:rsidR="00B529DD" w:rsidRPr="00B529DD" w:rsidRDefault="00B529DD" w:rsidP="00C51FEB">
            <w:pPr>
              <w:spacing w:after="0" w:line="240" w:lineRule="auto"/>
              <w:jc w:val="both"/>
              <w:rPr>
                <w:rStyle w:val="titulo1"/>
                <w:rFonts w:ascii="Times New Roman" w:hAnsi="Times New Roman"/>
                <w:color w:val="FF0000"/>
                <w:sz w:val="24"/>
              </w:rPr>
            </w:pPr>
          </w:p>
          <w:p w14:paraId="15C85B15" w14:textId="3040F9B8" w:rsidR="00B529DD" w:rsidRPr="00B529DD" w:rsidRDefault="00B529DD" w:rsidP="00C51FEB">
            <w:pPr>
              <w:spacing w:after="0" w:line="240" w:lineRule="auto"/>
              <w:jc w:val="both"/>
              <w:rPr>
                <w:rFonts w:ascii="Times New Roman" w:hAnsi="Times New Roman"/>
                <w:color w:val="FF0000"/>
                <w:sz w:val="24"/>
                <w:lang w:val="es-ES"/>
              </w:rPr>
            </w:pPr>
            <w:r w:rsidRPr="00B529DD">
              <w:rPr>
                <w:rStyle w:val="titulo1"/>
                <w:rFonts w:ascii="Times New Roman" w:hAnsi="Times New Roman"/>
                <w:color w:val="FF0000"/>
                <w:sz w:val="24"/>
                <w:u w:val="single"/>
              </w:rPr>
              <w:t>Imputada:</w:t>
            </w:r>
            <w:r>
              <w:rPr>
                <w:rStyle w:val="titulo1"/>
                <w:rFonts w:ascii="Times New Roman" w:hAnsi="Times New Roman"/>
                <w:color w:val="FF0000"/>
                <w:sz w:val="24"/>
              </w:rPr>
              <w:t xml:space="preserve"> la </w:t>
            </w:r>
            <w:r w:rsidRPr="00B529DD">
              <w:rPr>
                <w:rStyle w:val="titulo1"/>
                <w:rFonts w:ascii="Times New Roman" w:hAnsi="Times New Roman"/>
                <w:color w:val="FF0000"/>
                <w:sz w:val="24"/>
              </w:rPr>
              <w:t>interna Javiera Conmigual, condenada por homicidio a 3 años y un día</w:t>
            </w:r>
            <w:r>
              <w:rPr>
                <w:rStyle w:val="titulo1"/>
                <w:rFonts w:ascii="Times New Roman" w:hAnsi="Times New Roman"/>
                <w:color w:val="FF0000"/>
                <w:sz w:val="24"/>
              </w:rPr>
              <w:t>. Al parecer realizó golpes y amenzas a María del Pilar Pérez.</w:t>
            </w:r>
          </w:p>
          <w:p w14:paraId="53253F1F" w14:textId="77777777" w:rsidR="00C51FEB" w:rsidRDefault="00C51FEB" w:rsidP="00C51FEB">
            <w:pPr>
              <w:spacing w:after="0" w:line="240" w:lineRule="auto"/>
              <w:jc w:val="both"/>
              <w:rPr>
                <w:rFonts w:ascii="Times New Roman" w:hAnsi="Times New Roman"/>
                <w:sz w:val="24"/>
                <w:lang w:val="es-ES"/>
              </w:rPr>
            </w:pPr>
          </w:p>
          <w:p w14:paraId="56F37535" w14:textId="77777777" w:rsidR="00C51FEB" w:rsidRDefault="00C51FEB" w:rsidP="00C51FEB">
            <w:pPr>
              <w:spacing w:after="0" w:line="240" w:lineRule="auto"/>
              <w:jc w:val="both"/>
              <w:rPr>
                <w:rFonts w:ascii="Times New Roman" w:hAnsi="Times New Roman"/>
                <w:sz w:val="24"/>
                <w:lang w:val="es-ES"/>
              </w:rPr>
            </w:pPr>
          </w:p>
          <w:p w14:paraId="54E45023" w14:textId="77777777" w:rsidR="00C51FEB" w:rsidRDefault="00C51FEB" w:rsidP="00C51FEB">
            <w:pPr>
              <w:spacing w:after="0" w:line="240" w:lineRule="auto"/>
              <w:jc w:val="both"/>
              <w:rPr>
                <w:rFonts w:ascii="Times New Roman" w:hAnsi="Times New Roman"/>
                <w:sz w:val="24"/>
                <w:lang w:val="es-ES"/>
              </w:rPr>
            </w:pPr>
          </w:p>
          <w:p w14:paraId="0A0459D1" w14:textId="77777777" w:rsidR="00C51FEB" w:rsidRDefault="00C51FEB" w:rsidP="00C51FEB">
            <w:pPr>
              <w:spacing w:after="0" w:line="240" w:lineRule="auto"/>
              <w:jc w:val="both"/>
              <w:rPr>
                <w:rFonts w:ascii="Times New Roman" w:hAnsi="Times New Roman"/>
                <w:sz w:val="24"/>
                <w:lang w:val="es-ES"/>
              </w:rPr>
            </w:pPr>
          </w:p>
          <w:p w14:paraId="63F66304" w14:textId="77777777" w:rsidR="00C51FEB" w:rsidRDefault="00C51FEB" w:rsidP="00C51FEB">
            <w:pPr>
              <w:spacing w:after="0" w:line="240" w:lineRule="auto"/>
              <w:jc w:val="both"/>
              <w:rPr>
                <w:rFonts w:ascii="Times New Roman" w:hAnsi="Times New Roman"/>
                <w:sz w:val="24"/>
                <w:lang w:val="es-ES"/>
              </w:rPr>
            </w:pPr>
          </w:p>
          <w:p w14:paraId="05D125D5" w14:textId="77777777" w:rsidR="00B529DD" w:rsidRDefault="00B529DD" w:rsidP="00C51FEB">
            <w:pPr>
              <w:spacing w:after="0" w:line="240" w:lineRule="auto"/>
              <w:jc w:val="both"/>
              <w:rPr>
                <w:rFonts w:ascii="Times New Roman" w:hAnsi="Times New Roman"/>
                <w:sz w:val="24"/>
                <w:lang w:val="es-ES"/>
              </w:rPr>
            </w:pPr>
          </w:p>
        </w:tc>
      </w:tr>
    </w:tbl>
    <w:p w14:paraId="7B836473" w14:textId="77777777" w:rsidR="00C51FEB" w:rsidRPr="00C51FEB" w:rsidRDefault="00C51FEB" w:rsidP="00C51FEB">
      <w:pPr>
        <w:spacing w:after="0" w:line="240" w:lineRule="auto"/>
        <w:jc w:val="both"/>
        <w:rPr>
          <w:rFonts w:ascii="Times New Roman" w:hAnsi="Times New Roman"/>
          <w:sz w:val="24"/>
          <w:lang w:val="es-ES"/>
        </w:rPr>
      </w:pPr>
    </w:p>
    <w:p w14:paraId="1AB80B39" w14:textId="77777777" w:rsidR="00C51FEB" w:rsidRPr="00C51FEB" w:rsidRDefault="00C51FEB" w:rsidP="00C51FEB">
      <w:pPr>
        <w:spacing w:after="0" w:line="240" w:lineRule="auto"/>
        <w:jc w:val="both"/>
        <w:rPr>
          <w:rFonts w:ascii="Times New Roman" w:hAnsi="Times New Roman"/>
          <w:sz w:val="24"/>
          <w:lang w:val="es-ES"/>
        </w:rPr>
      </w:pPr>
    </w:p>
    <w:p w14:paraId="21933FA8" w14:textId="4836E4FD" w:rsidR="00C51FEB" w:rsidRDefault="00C51FEB" w:rsidP="00C51FEB">
      <w:pPr>
        <w:spacing w:after="0" w:line="240" w:lineRule="auto"/>
        <w:jc w:val="both"/>
        <w:rPr>
          <w:rFonts w:ascii="Times New Roman" w:hAnsi="Times New Roman"/>
          <w:sz w:val="24"/>
          <w:lang w:val="es-ES"/>
        </w:rPr>
      </w:pPr>
      <w:r w:rsidRPr="00C51FEB">
        <w:rPr>
          <w:rFonts w:ascii="Times New Roman" w:hAnsi="Times New Roman"/>
          <w:sz w:val="24"/>
          <w:lang w:val="es-ES"/>
        </w:rPr>
        <w:t>2. Realice un esquema sintetizando el cambio del modelo Penal introducido por la Reforma Procesal Penal</w:t>
      </w:r>
      <w:r>
        <w:rPr>
          <w:rFonts w:ascii="Times New Roman" w:hAnsi="Times New Roman"/>
          <w:sz w:val="24"/>
          <w:lang w:val="es-ES"/>
        </w:rPr>
        <w:t xml:space="preserve"> explicado en el PPT de la Guía nº6</w:t>
      </w:r>
      <w:r w:rsidRPr="00C51FEB">
        <w:rPr>
          <w:rFonts w:ascii="Times New Roman" w:hAnsi="Times New Roman"/>
          <w:sz w:val="24"/>
          <w:lang w:val="es-ES"/>
        </w:rPr>
        <w:t>.</w:t>
      </w:r>
    </w:p>
    <w:p w14:paraId="587B4F22" w14:textId="77777777" w:rsidR="00C51FEB" w:rsidRDefault="00C51FEB" w:rsidP="00C51FEB">
      <w:pPr>
        <w:spacing w:after="0" w:line="240" w:lineRule="auto"/>
        <w:jc w:val="both"/>
        <w:rPr>
          <w:rFonts w:ascii="Times New Roman" w:hAnsi="Times New Roman"/>
          <w:sz w:val="24"/>
          <w:lang w:val="es-ES"/>
        </w:rPr>
      </w:pPr>
    </w:p>
    <w:tbl>
      <w:tblPr>
        <w:tblStyle w:val="Tablaconcuadrcula"/>
        <w:tblW w:w="0" w:type="auto"/>
        <w:tblLook w:val="04A0" w:firstRow="1" w:lastRow="0" w:firstColumn="1" w:lastColumn="0" w:noHBand="0" w:noVBand="1"/>
      </w:tblPr>
      <w:tblGrid>
        <w:gridCol w:w="8828"/>
      </w:tblGrid>
      <w:tr w:rsidR="00C51FEB" w14:paraId="0C7BED5D" w14:textId="77777777" w:rsidTr="00C51FEB">
        <w:tc>
          <w:tcPr>
            <w:tcW w:w="8828" w:type="dxa"/>
          </w:tcPr>
          <w:p w14:paraId="094DBC44" w14:textId="6762D3AE" w:rsidR="00C51FEB" w:rsidRDefault="00C51FEB" w:rsidP="00C51FEB">
            <w:pPr>
              <w:spacing w:after="0" w:line="240" w:lineRule="auto"/>
              <w:jc w:val="both"/>
              <w:rPr>
                <w:rFonts w:ascii="Times New Roman" w:hAnsi="Times New Roman"/>
                <w:sz w:val="24"/>
                <w:lang w:val="es-ES"/>
              </w:rPr>
            </w:pPr>
          </w:p>
          <w:p w14:paraId="7A97954D" w14:textId="6DF17E55" w:rsidR="00123FA3" w:rsidRPr="00123FA3" w:rsidRDefault="00123FA3" w:rsidP="00C51FEB">
            <w:pPr>
              <w:spacing w:after="0" w:line="240" w:lineRule="auto"/>
              <w:jc w:val="both"/>
              <w:rPr>
                <w:rFonts w:ascii="Times New Roman" w:hAnsi="Times New Roman"/>
                <w:color w:val="FF0000"/>
                <w:sz w:val="24"/>
                <w:lang w:val="es-ES"/>
              </w:rPr>
            </w:pPr>
            <w:r w:rsidRPr="00123FA3">
              <w:rPr>
                <w:rFonts w:ascii="Times New Roman" w:hAnsi="Times New Roman"/>
                <w:color w:val="FF0000"/>
                <w:sz w:val="24"/>
                <w:lang w:val="es-ES"/>
              </w:rPr>
              <w:t xml:space="preserve">Los conceptos básicos que deben ocupar son los siguientes: </w:t>
            </w:r>
          </w:p>
          <w:p w14:paraId="74676239" w14:textId="789DC5B6" w:rsidR="00123FA3" w:rsidRPr="00123FA3" w:rsidRDefault="00123FA3" w:rsidP="00123FA3">
            <w:pPr>
              <w:spacing w:after="0" w:line="240" w:lineRule="auto"/>
              <w:jc w:val="both"/>
              <w:rPr>
                <w:rFonts w:ascii="Times New Roman" w:hAnsi="Times New Roman"/>
                <w:color w:val="FF0000"/>
                <w:sz w:val="24"/>
                <w:lang w:val="es-ES"/>
              </w:rPr>
            </w:pPr>
            <w:r w:rsidRPr="00123FA3">
              <w:rPr>
                <w:rFonts w:ascii="Times New Roman" w:hAnsi="Times New Roman"/>
                <w:color w:val="FF0000"/>
                <w:sz w:val="24"/>
                <w:lang w:val="es-ES"/>
              </w:rPr>
              <w:t>M</w:t>
            </w:r>
            <w:r w:rsidR="00465E11" w:rsidRPr="00123FA3">
              <w:rPr>
                <w:rFonts w:ascii="Times New Roman" w:hAnsi="Times New Roman"/>
                <w:color w:val="FF0000"/>
                <w:sz w:val="24"/>
                <w:lang w:val="es-ES"/>
              </w:rPr>
              <w:t>odelo</w:t>
            </w:r>
            <w:r w:rsidRPr="00123FA3">
              <w:rPr>
                <w:rFonts w:ascii="Times New Roman" w:hAnsi="Times New Roman"/>
                <w:color w:val="FF0000"/>
                <w:sz w:val="24"/>
                <w:lang w:val="es-ES"/>
              </w:rPr>
              <w:t xml:space="preserve"> antiguo: </w:t>
            </w:r>
            <w:r w:rsidR="00465E11" w:rsidRPr="00123FA3">
              <w:rPr>
                <w:rFonts w:ascii="Times New Roman" w:hAnsi="Times New Roman"/>
                <w:color w:val="FF0000"/>
                <w:sz w:val="24"/>
                <w:lang w:val="es-ES"/>
              </w:rPr>
              <w:t xml:space="preserve">inquisitivo </w:t>
            </w:r>
            <w:r w:rsidRPr="00123FA3">
              <w:rPr>
                <w:rFonts w:ascii="Times New Roman" w:hAnsi="Times New Roman"/>
                <w:color w:val="FF0000"/>
                <w:sz w:val="24"/>
                <w:lang w:val="es-ES"/>
              </w:rPr>
              <w:sym w:font="Wingdings" w:char="F0E0"/>
            </w:r>
            <w:r w:rsidRPr="00123FA3">
              <w:rPr>
                <w:rFonts w:ascii="Times New Roman" w:hAnsi="Times New Roman"/>
                <w:color w:val="FF0000"/>
                <w:sz w:val="24"/>
                <w:lang w:val="es-ES"/>
              </w:rPr>
              <w:t xml:space="preserve"> </w:t>
            </w:r>
            <w:r w:rsidR="00465E11" w:rsidRPr="00123FA3">
              <w:rPr>
                <w:rFonts w:ascii="Times New Roman" w:hAnsi="Times New Roman"/>
                <w:color w:val="FF0000"/>
                <w:sz w:val="24"/>
                <w:lang w:val="es-ES"/>
              </w:rPr>
              <w:t>pa</w:t>
            </w:r>
            <w:r w:rsidRPr="00123FA3">
              <w:rPr>
                <w:rFonts w:ascii="Times New Roman" w:hAnsi="Times New Roman"/>
                <w:color w:val="FF0000"/>
                <w:sz w:val="24"/>
                <w:lang w:val="es-ES"/>
              </w:rPr>
              <w:t xml:space="preserve">ra ser acusatorio </w:t>
            </w:r>
            <w:r w:rsidRPr="00123FA3">
              <w:rPr>
                <w:rFonts w:ascii="Times New Roman" w:hAnsi="Times New Roman"/>
                <w:color w:val="FF0000"/>
                <w:sz w:val="24"/>
                <w:lang w:val="es-ES"/>
              </w:rPr>
              <w:sym w:font="Wingdings" w:char="F0E0"/>
            </w:r>
            <w:r w:rsidR="00465E11" w:rsidRPr="00123FA3">
              <w:rPr>
                <w:rFonts w:ascii="Times New Roman" w:hAnsi="Times New Roman"/>
                <w:color w:val="FF0000"/>
                <w:sz w:val="24"/>
                <w:lang w:val="es-ES"/>
              </w:rPr>
              <w:t>se van a dividir l</w:t>
            </w:r>
            <w:r w:rsidRPr="00123FA3">
              <w:rPr>
                <w:rFonts w:ascii="Times New Roman" w:hAnsi="Times New Roman"/>
                <w:color w:val="FF0000"/>
                <w:sz w:val="24"/>
                <w:lang w:val="es-ES"/>
              </w:rPr>
              <w:t>as funciones de cada personaje.</w:t>
            </w:r>
          </w:p>
          <w:p w14:paraId="57B6D1D9" w14:textId="77777777" w:rsidR="00123FA3" w:rsidRPr="00123FA3" w:rsidRDefault="00123FA3" w:rsidP="00123FA3">
            <w:pPr>
              <w:spacing w:after="0" w:line="240" w:lineRule="auto"/>
              <w:jc w:val="both"/>
              <w:rPr>
                <w:rFonts w:ascii="Times New Roman" w:hAnsi="Times New Roman" w:cs="Times New Roman"/>
                <w:color w:val="FF0000"/>
                <w:sz w:val="24"/>
                <w:lang w:eastAsia="en-US"/>
              </w:rPr>
            </w:pPr>
          </w:p>
          <w:p w14:paraId="3033E7A7" w14:textId="5EFFF815" w:rsidR="00123FA3" w:rsidRPr="00123FA3" w:rsidRDefault="00123FA3" w:rsidP="00123FA3">
            <w:pPr>
              <w:spacing w:after="0" w:line="240" w:lineRule="auto"/>
              <w:jc w:val="both"/>
              <w:rPr>
                <w:rFonts w:ascii="Times New Roman" w:hAnsi="Times New Roman" w:cs="Times New Roman"/>
                <w:color w:val="FF0000"/>
                <w:sz w:val="24"/>
                <w:lang w:eastAsia="en-US"/>
              </w:rPr>
            </w:pPr>
            <w:r w:rsidRPr="00123FA3">
              <w:rPr>
                <w:rFonts w:ascii="Times New Roman" w:hAnsi="Times New Roman" w:cs="Times New Roman"/>
                <w:color w:val="FF0000"/>
                <w:sz w:val="24"/>
                <w:lang w:eastAsia="en-US"/>
              </w:rPr>
              <w:t xml:space="preserve">Se crea la Fiscalía o Ministerio Público </w:t>
            </w:r>
            <w:r w:rsidRPr="00123FA3">
              <w:rPr>
                <w:rFonts w:ascii="Times New Roman" w:hAnsi="Times New Roman" w:cs="Times New Roman"/>
                <w:color w:val="FF0000"/>
                <w:sz w:val="24"/>
                <w:lang w:eastAsia="en-US"/>
              </w:rPr>
              <w:sym w:font="Wingdings" w:char="F0E0"/>
            </w:r>
            <w:r w:rsidRPr="00123FA3">
              <w:rPr>
                <w:rFonts w:ascii="Times New Roman" w:hAnsi="Times New Roman" w:cs="Times New Roman"/>
                <w:color w:val="FF0000"/>
                <w:sz w:val="24"/>
                <w:lang w:eastAsia="en-US"/>
              </w:rPr>
              <w:t xml:space="preserve"> El fiscal  es quien investiga la causa y acusa al imputado </w:t>
            </w:r>
            <w:r w:rsidRPr="00123FA3">
              <w:rPr>
                <w:rFonts w:ascii="Times New Roman" w:hAnsi="Times New Roman" w:cs="Times New Roman"/>
                <w:color w:val="FF0000"/>
                <w:sz w:val="24"/>
                <w:lang w:eastAsia="en-US"/>
              </w:rPr>
              <w:sym w:font="Wingdings" w:char="F0E0"/>
            </w:r>
            <w:r w:rsidRPr="00123FA3">
              <w:rPr>
                <w:rFonts w:ascii="Times New Roman" w:hAnsi="Times New Roman" w:cs="Times New Roman"/>
                <w:color w:val="FF0000"/>
                <w:sz w:val="24"/>
                <w:lang w:eastAsia="en-US"/>
              </w:rPr>
              <w:t xml:space="preserve"> formaliza la investigación y acusa a presuntos responsables.</w:t>
            </w:r>
          </w:p>
          <w:p w14:paraId="1CDD2B2D" w14:textId="77777777" w:rsidR="00123FA3" w:rsidRPr="00123FA3" w:rsidRDefault="00123FA3" w:rsidP="00123FA3">
            <w:pPr>
              <w:spacing w:after="0" w:line="240" w:lineRule="auto"/>
              <w:jc w:val="both"/>
              <w:rPr>
                <w:rFonts w:ascii="Times New Roman" w:hAnsi="Times New Roman" w:cs="Times New Roman"/>
                <w:color w:val="FF0000"/>
                <w:sz w:val="24"/>
                <w:lang w:eastAsia="en-US"/>
              </w:rPr>
            </w:pPr>
          </w:p>
          <w:p w14:paraId="5FF89CCE" w14:textId="07DF010D" w:rsidR="00123FA3" w:rsidRPr="00123FA3" w:rsidRDefault="00123FA3" w:rsidP="00123FA3">
            <w:pPr>
              <w:spacing w:after="0" w:line="240" w:lineRule="auto"/>
              <w:jc w:val="both"/>
              <w:rPr>
                <w:rFonts w:ascii="Times New Roman" w:hAnsi="Times New Roman" w:cs="Times New Roman"/>
                <w:color w:val="FF0000"/>
                <w:sz w:val="24"/>
                <w:lang w:eastAsia="en-US"/>
              </w:rPr>
            </w:pPr>
            <w:r w:rsidRPr="00123FA3">
              <w:rPr>
                <w:rFonts w:ascii="Times New Roman" w:hAnsi="Times New Roman" w:cs="Times New Roman"/>
                <w:color w:val="FF0000"/>
                <w:sz w:val="24"/>
                <w:lang w:eastAsia="en-US"/>
              </w:rPr>
              <w:t xml:space="preserve">Se dividen  las funciones </w:t>
            </w:r>
            <w:r w:rsidRPr="00123FA3">
              <w:rPr>
                <w:rFonts w:ascii="Times New Roman" w:hAnsi="Times New Roman" w:cs="Times New Roman"/>
                <w:color w:val="FF0000"/>
                <w:sz w:val="24"/>
                <w:lang w:eastAsia="en-US"/>
              </w:rPr>
              <w:sym w:font="Wingdings" w:char="F0E0"/>
            </w:r>
            <w:r w:rsidRPr="00123FA3">
              <w:rPr>
                <w:rFonts w:ascii="Times New Roman" w:hAnsi="Times New Roman" w:cs="Times New Roman"/>
                <w:color w:val="FF0000"/>
                <w:sz w:val="24"/>
                <w:lang w:eastAsia="en-US"/>
              </w:rPr>
              <w:t xml:space="preserve">El Fiscal investiga la cause </w:t>
            </w:r>
            <w:r w:rsidRPr="00123FA3">
              <w:rPr>
                <w:rFonts w:ascii="Times New Roman" w:hAnsi="Times New Roman" w:cs="Times New Roman"/>
                <w:color w:val="FF0000"/>
                <w:sz w:val="24"/>
                <w:lang w:eastAsia="en-US"/>
              </w:rPr>
              <w:sym w:font="Wingdings" w:char="F0E0"/>
            </w:r>
            <w:r w:rsidRPr="00123FA3">
              <w:rPr>
                <w:rFonts w:ascii="Times New Roman" w:hAnsi="Times New Roman" w:cs="Times New Roman"/>
                <w:color w:val="FF0000"/>
                <w:sz w:val="24"/>
                <w:lang w:eastAsia="en-US"/>
              </w:rPr>
              <w:t xml:space="preserve"> y el Juez sentencia. </w:t>
            </w:r>
          </w:p>
          <w:p w14:paraId="1137FE7B" w14:textId="77777777" w:rsidR="00123FA3" w:rsidRPr="00123FA3" w:rsidRDefault="00123FA3" w:rsidP="00123FA3">
            <w:pPr>
              <w:spacing w:after="0" w:line="240" w:lineRule="auto"/>
              <w:jc w:val="both"/>
              <w:rPr>
                <w:rFonts w:ascii="Times New Roman" w:hAnsi="Times New Roman" w:cs="Times New Roman"/>
                <w:color w:val="FF0000"/>
                <w:sz w:val="24"/>
                <w:lang w:eastAsia="en-US"/>
              </w:rPr>
            </w:pPr>
          </w:p>
          <w:p w14:paraId="2C2A7559" w14:textId="1F331223" w:rsidR="00123FA3" w:rsidRPr="00123FA3" w:rsidRDefault="00123FA3" w:rsidP="00123FA3">
            <w:pPr>
              <w:spacing w:after="0" w:line="240" w:lineRule="auto"/>
              <w:jc w:val="both"/>
              <w:rPr>
                <w:rFonts w:ascii="Times New Roman" w:hAnsi="Times New Roman" w:cs="Times New Roman"/>
                <w:color w:val="FF0000"/>
                <w:sz w:val="24"/>
                <w:lang w:val="es-ES_tradnl" w:eastAsia="en-US"/>
              </w:rPr>
            </w:pPr>
            <w:r w:rsidRPr="00123FA3">
              <w:rPr>
                <w:rFonts w:ascii="Times New Roman" w:hAnsi="Times New Roman" w:cs="Times New Roman"/>
                <w:color w:val="FF0000"/>
                <w:sz w:val="24"/>
                <w:lang w:eastAsia="en-US"/>
              </w:rPr>
              <w:t xml:space="preserve">Se integran los principios: Oralidad-inmediatez-concentración </w:t>
            </w:r>
            <w:r w:rsidRPr="00123FA3">
              <w:rPr>
                <w:rFonts w:ascii="Times New Roman" w:hAnsi="Times New Roman" w:cs="Times New Roman"/>
                <w:color w:val="FF0000"/>
                <w:sz w:val="24"/>
                <w:lang w:eastAsia="en-US"/>
              </w:rPr>
              <w:sym w:font="Wingdings" w:char="F0E0"/>
            </w:r>
            <w:r w:rsidRPr="00123FA3">
              <w:rPr>
                <w:rFonts w:ascii="Times New Roman" w:hAnsi="Times New Roman" w:cs="Times New Roman"/>
                <w:color w:val="FF0000"/>
                <w:sz w:val="24"/>
                <w:lang w:eastAsia="en-US"/>
              </w:rPr>
              <w:t xml:space="preserve"> Grabación de testimonios.</w:t>
            </w:r>
          </w:p>
          <w:p w14:paraId="32E8150A" w14:textId="3EF6124C" w:rsidR="00C51FEB" w:rsidRDefault="00C51FEB" w:rsidP="00C51FEB">
            <w:pPr>
              <w:spacing w:after="0" w:line="240" w:lineRule="auto"/>
              <w:jc w:val="both"/>
              <w:rPr>
                <w:rFonts w:ascii="Times New Roman" w:hAnsi="Times New Roman"/>
                <w:sz w:val="24"/>
                <w:lang w:val="es-ES"/>
              </w:rPr>
            </w:pPr>
            <w:bookmarkStart w:id="0" w:name="_GoBack"/>
            <w:bookmarkEnd w:id="0"/>
          </w:p>
        </w:tc>
      </w:tr>
    </w:tbl>
    <w:p w14:paraId="6F1515AD" w14:textId="77777777" w:rsidR="00C51FEB" w:rsidRPr="00C51FEB" w:rsidRDefault="00C51FEB" w:rsidP="00C51FEB">
      <w:pPr>
        <w:spacing w:after="0" w:line="240" w:lineRule="auto"/>
        <w:jc w:val="both"/>
        <w:rPr>
          <w:rFonts w:ascii="Times New Roman" w:hAnsi="Times New Roman"/>
          <w:sz w:val="24"/>
          <w:lang w:val="es-ES"/>
        </w:rPr>
      </w:pPr>
    </w:p>
    <w:p w14:paraId="28FDE17B" w14:textId="77777777" w:rsidR="00C51FEB" w:rsidRPr="00C51FEB" w:rsidRDefault="00C51FEB" w:rsidP="00C51FEB">
      <w:pPr>
        <w:jc w:val="both"/>
        <w:rPr>
          <w:rFonts w:ascii="Times New Roman" w:hAnsi="Times New Roman"/>
          <w:sz w:val="24"/>
        </w:rPr>
      </w:pPr>
    </w:p>
    <w:p w14:paraId="74E95CFD" w14:textId="77777777" w:rsidR="00C51FEB" w:rsidRPr="00C51FEB" w:rsidRDefault="00C51FEB" w:rsidP="00C51FEB">
      <w:pPr>
        <w:widowControl w:val="0"/>
        <w:autoSpaceDE w:val="0"/>
        <w:autoSpaceDN w:val="0"/>
        <w:adjustRightInd w:val="0"/>
        <w:spacing w:after="240" w:line="300" w:lineRule="atLeast"/>
        <w:jc w:val="both"/>
        <w:rPr>
          <w:rFonts w:ascii="Times New Roman" w:hAnsi="Times New Roman"/>
          <w:color w:val="000000" w:themeColor="text1"/>
          <w:sz w:val="28"/>
          <w:szCs w:val="24"/>
        </w:rPr>
      </w:pPr>
    </w:p>
    <w:sectPr w:rsidR="00C51FEB" w:rsidRPr="00C51FEB"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BCF56" w14:textId="77777777" w:rsidR="005365D3" w:rsidRDefault="005365D3" w:rsidP="00191E23">
      <w:pPr>
        <w:spacing w:after="0" w:line="240" w:lineRule="auto"/>
      </w:pPr>
      <w:r>
        <w:separator/>
      </w:r>
    </w:p>
  </w:endnote>
  <w:endnote w:type="continuationSeparator" w:id="0">
    <w:p w14:paraId="1F1C69A2" w14:textId="77777777" w:rsidR="005365D3" w:rsidRDefault="005365D3"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C72F" w14:textId="77777777" w:rsidR="005365D3" w:rsidRDefault="005365D3" w:rsidP="00191E23">
      <w:pPr>
        <w:spacing w:after="0" w:line="240" w:lineRule="auto"/>
      </w:pPr>
      <w:r>
        <w:separator/>
      </w:r>
    </w:p>
  </w:footnote>
  <w:footnote w:type="continuationSeparator" w:id="0">
    <w:p w14:paraId="4865E60C" w14:textId="77777777" w:rsidR="005365D3" w:rsidRDefault="005365D3" w:rsidP="00191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5B111238" w14:textId="77777777" w:rsidR="00813AE4"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7449DC97" w:rsidR="00191E23" w:rsidRDefault="00813AE4" w:rsidP="00191E23">
    <w:pPr>
      <w:pStyle w:val="Encabezado"/>
    </w:pPr>
    <w:r>
      <w:rPr>
        <w:rFonts w:ascii="Times New Roman" w:eastAsia="Times New Roman" w:hAnsi="Times New Roman"/>
      </w:rPr>
      <w:t xml:space="preserve">Profesora: Silvana López </w:t>
    </w:r>
    <w:r w:rsidR="00191E23">
      <w:rPr>
        <w:rFonts w:ascii="Times New Roman" w:eastAsia="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B7D5AF7"/>
    <w:multiLevelType w:val="hybridMultilevel"/>
    <w:tmpl w:val="8D8233D0"/>
    <w:lvl w:ilvl="0" w:tplc="11EE35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8"/>
    <w:rsid w:val="000202D6"/>
    <w:rsid w:val="00057A79"/>
    <w:rsid w:val="001176EE"/>
    <w:rsid w:val="00123FA3"/>
    <w:rsid w:val="00191E23"/>
    <w:rsid w:val="001A6854"/>
    <w:rsid w:val="001B1E43"/>
    <w:rsid w:val="001D5821"/>
    <w:rsid w:val="001E2770"/>
    <w:rsid w:val="001E4D01"/>
    <w:rsid w:val="001F2F84"/>
    <w:rsid w:val="00200A60"/>
    <w:rsid w:val="0020395E"/>
    <w:rsid w:val="00286190"/>
    <w:rsid w:val="002A0268"/>
    <w:rsid w:val="002D1864"/>
    <w:rsid w:val="00324A97"/>
    <w:rsid w:val="003252B5"/>
    <w:rsid w:val="003835AF"/>
    <w:rsid w:val="00397F80"/>
    <w:rsid w:val="003E4095"/>
    <w:rsid w:val="00417FBE"/>
    <w:rsid w:val="00440E06"/>
    <w:rsid w:val="004539F2"/>
    <w:rsid w:val="00465E11"/>
    <w:rsid w:val="005365D3"/>
    <w:rsid w:val="00552926"/>
    <w:rsid w:val="005B1ABE"/>
    <w:rsid w:val="0061726B"/>
    <w:rsid w:val="00656AA0"/>
    <w:rsid w:val="006D144F"/>
    <w:rsid w:val="006E31E4"/>
    <w:rsid w:val="007271E9"/>
    <w:rsid w:val="007E50E9"/>
    <w:rsid w:val="00800582"/>
    <w:rsid w:val="008011E9"/>
    <w:rsid w:val="00813AE4"/>
    <w:rsid w:val="008C25E8"/>
    <w:rsid w:val="0091369C"/>
    <w:rsid w:val="00917916"/>
    <w:rsid w:val="009A000B"/>
    <w:rsid w:val="009C32D8"/>
    <w:rsid w:val="00AB54D0"/>
    <w:rsid w:val="00AC474F"/>
    <w:rsid w:val="00B06588"/>
    <w:rsid w:val="00B529DD"/>
    <w:rsid w:val="00BC4874"/>
    <w:rsid w:val="00BD5460"/>
    <w:rsid w:val="00C51FEB"/>
    <w:rsid w:val="00C71EF3"/>
    <w:rsid w:val="00C929AC"/>
    <w:rsid w:val="00C96CF1"/>
    <w:rsid w:val="00CB5584"/>
    <w:rsid w:val="00CD14D0"/>
    <w:rsid w:val="00CD3243"/>
    <w:rsid w:val="00CF06B3"/>
    <w:rsid w:val="00CF3182"/>
    <w:rsid w:val="00E363A6"/>
    <w:rsid w:val="00E6126E"/>
    <w:rsid w:val="00E92874"/>
    <w:rsid w:val="00EC074B"/>
    <w:rsid w:val="00EC0A4A"/>
    <w:rsid w:val="00EC4613"/>
    <w:rsid w:val="00EF0ED7"/>
    <w:rsid w:val="00F077AE"/>
    <w:rsid w:val="00F802B8"/>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FA3"/>
    <w:pPr>
      <w:spacing w:after="200" w:line="276" w:lineRule="auto"/>
    </w:pPr>
    <w:rPr>
      <w:rFonts w:ascii="Calibri" w:eastAsia="Calibri" w:hAnsi="Calibri" w:cs="Calibri"/>
      <w:sz w:val="22"/>
      <w:szCs w:val="22"/>
      <w:lang w:val="es-C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rPr>
      <w:rFonts w:cs="Times New Roman"/>
      <w:lang w:eastAsia="en-US"/>
    </w:r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rPr>
      <w:rFonts w:cs="Times New Roman"/>
      <w:lang w:eastAsia="en-US"/>
    </w:r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7E50E9"/>
    <w:rPr>
      <w:color w:val="954F72" w:themeColor="followedHyperlink"/>
      <w:u w:val="single"/>
    </w:rPr>
  </w:style>
  <w:style w:type="character" w:customStyle="1" w:styleId="titulo1">
    <w:name w:val="titulo1"/>
    <w:basedOn w:val="Fuentedeprrafopredeter"/>
    <w:rsid w:val="00C51FEB"/>
  </w:style>
  <w:style w:type="character" w:customStyle="1" w:styleId="titulo2">
    <w:name w:val="titulo2"/>
    <w:basedOn w:val="Fuentedeprrafopredeter"/>
    <w:rsid w:val="00C5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1558">
      <w:bodyDiv w:val="1"/>
      <w:marLeft w:val="0"/>
      <w:marRight w:val="0"/>
      <w:marTop w:val="0"/>
      <w:marBottom w:val="0"/>
      <w:divBdr>
        <w:top w:val="none" w:sz="0" w:space="0" w:color="auto"/>
        <w:left w:val="none" w:sz="0" w:space="0" w:color="auto"/>
        <w:bottom w:val="none" w:sz="0" w:space="0" w:color="auto"/>
        <w:right w:val="none" w:sz="0" w:space="0" w:color="auto"/>
      </w:divBdr>
    </w:div>
    <w:div w:id="1652321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ifmgGVyJlXg&amp;feature=youtu.be" TargetMode="External"/><Relationship Id="rId8" Type="http://schemas.openxmlformats.org/officeDocument/2006/relationships/hyperlink" Target="mailto:historia.iv.smm@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784</Words>
  <Characters>4317</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47</cp:revision>
  <dcterms:created xsi:type="dcterms:W3CDTF">2020-03-16T14:23:00Z</dcterms:created>
  <dcterms:modified xsi:type="dcterms:W3CDTF">2020-05-12T01:13:00Z</dcterms:modified>
</cp:coreProperties>
</file>